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3A30" w14:textId="36253E6F" w:rsidR="00BD182C" w:rsidRDefault="001F2314" w:rsidP="001F2314">
      <w:pPr>
        <w:jc w:val="center"/>
      </w:pPr>
      <w:r>
        <w:rPr>
          <w:noProof/>
        </w:rPr>
        <w:drawing>
          <wp:inline distT="0" distB="0" distL="0" distR="0" wp14:anchorId="4DD901DD" wp14:editId="19295773">
            <wp:extent cx="3448050" cy="1323975"/>
            <wp:effectExtent l="0" t="0" r="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F7C5" w14:textId="1E678988" w:rsidR="001F2314" w:rsidRPr="001F2314" w:rsidRDefault="001F2314" w:rsidP="001F2314">
      <w:pPr>
        <w:jc w:val="center"/>
      </w:pPr>
    </w:p>
    <w:p w14:paraId="2D1E00F3" w14:textId="3C96ED21" w:rsidR="001F2314" w:rsidRPr="001F2314" w:rsidRDefault="001F2314" w:rsidP="001F2314">
      <w:pPr>
        <w:spacing w:line="360" w:lineRule="auto"/>
        <w:jc w:val="center"/>
        <w:rPr>
          <w:rFonts w:ascii="Arial Nova" w:hAnsi="Arial Nova"/>
          <w:color w:val="262626" w:themeColor="text1" w:themeTint="D9"/>
          <w:sz w:val="44"/>
          <w:szCs w:val="44"/>
        </w:rPr>
      </w:pPr>
      <w:r w:rsidRPr="001F2314">
        <w:rPr>
          <w:rFonts w:ascii="Arial Nova" w:hAnsi="Arial Nova"/>
          <w:color w:val="262626" w:themeColor="text1" w:themeTint="D9"/>
          <w:sz w:val="44"/>
          <w:szCs w:val="44"/>
        </w:rPr>
        <w:t>MNUM</w:t>
      </w:r>
    </w:p>
    <w:p w14:paraId="0513E834" w14:textId="6BFF8A77" w:rsidR="001F2314" w:rsidRPr="001F2314" w:rsidRDefault="001F2314" w:rsidP="001F2314">
      <w:pPr>
        <w:spacing w:line="360" w:lineRule="auto"/>
        <w:jc w:val="center"/>
        <w:rPr>
          <w:rFonts w:ascii="Arial Nova" w:hAnsi="Arial Nova"/>
          <w:color w:val="262626" w:themeColor="text1" w:themeTint="D9"/>
          <w:sz w:val="44"/>
          <w:szCs w:val="44"/>
        </w:rPr>
      </w:pPr>
      <w:r w:rsidRPr="001F2314">
        <w:rPr>
          <w:rFonts w:ascii="Arial Nova" w:hAnsi="Arial Nova"/>
          <w:color w:val="262626" w:themeColor="text1" w:themeTint="D9"/>
          <w:sz w:val="44"/>
          <w:szCs w:val="44"/>
        </w:rPr>
        <w:t>Fármaco Cinética</w:t>
      </w:r>
    </w:p>
    <w:p w14:paraId="456FF7E2" w14:textId="660F18F1" w:rsidR="001F2314" w:rsidRPr="001F2314" w:rsidRDefault="001F2314" w:rsidP="001F2314">
      <w:pPr>
        <w:spacing w:line="360" w:lineRule="auto"/>
        <w:jc w:val="center"/>
        <w:rPr>
          <w:rFonts w:ascii="Arial Nova" w:hAnsi="Arial Nova"/>
          <w:color w:val="262626" w:themeColor="text1" w:themeTint="D9"/>
          <w:sz w:val="36"/>
          <w:szCs w:val="36"/>
        </w:rPr>
      </w:pPr>
      <w:r w:rsidRPr="001F2314">
        <w:rPr>
          <w:rFonts w:ascii="Arial Nova" w:hAnsi="Arial Nova"/>
          <w:color w:val="262626" w:themeColor="text1" w:themeTint="D9"/>
          <w:sz w:val="36"/>
          <w:szCs w:val="36"/>
        </w:rPr>
        <w:t>Grupo 30</w:t>
      </w:r>
    </w:p>
    <w:p w14:paraId="0DA0B3D6" w14:textId="40674674" w:rsidR="001F2314" w:rsidRDefault="001F2314" w:rsidP="001F2314">
      <w:pPr>
        <w:shd w:val="clear" w:color="auto" w:fill="FFFFFF"/>
        <w:spacing w:after="100" w:afterAutospacing="1" w:line="360" w:lineRule="auto"/>
        <w:jc w:val="center"/>
        <w:outlineLvl w:val="1"/>
        <w:rPr>
          <w:rFonts w:ascii="Arial Nova" w:hAnsi="Arial Nova"/>
          <w:color w:val="262626" w:themeColor="text1" w:themeTint="D9"/>
          <w:sz w:val="32"/>
          <w:szCs w:val="32"/>
        </w:rPr>
      </w:pPr>
      <w:r w:rsidRPr="001F2314">
        <w:rPr>
          <w:rFonts w:ascii="Arial Nova" w:eastAsia="Times New Roman" w:hAnsi="Arial Nova" w:cs="Segoe UI"/>
          <w:color w:val="262626" w:themeColor="text1" w:themeTint="D9"/>
          <w:sz w:val="32"/>
          <w:szCs w:val="32"/>
          <w:lang w:eastAsia="pt-PT"/>
        </w:rPr>
        <w:t>Francisco Renato Barbosa Pires</w:t>
      </w:r>
      <w:r>
        <w:rPr>
          <w:rFonts w:ascii="Arial Nova" w:eastAsia="Times New Roman" w:hAnsi="Arial Nova" w:cs="Segoe UI"/>
          <w:color w:val="262626" w:themeColor="text1" w:themeTint="D9"/>
          <w:sz w:val="32"/>
          <w:szCs w:val="32"/>
          <w:lang w:eastAsia="pt-PT"/>
        </w:rPr>
        <w:t xml:space="preserve"> - </w:t>
      </w:r>
      <w:hyperlink r:id="rId8" w:history="1">
        <w:r w:rsidRPr="001F2314">
          <w:rPr>
            <w:rStyle w:val="Hiperligao"/>
            <w:rFonts w:ascii="Arial Nova" w:hAnsi="Arial Nova" w:cs="Segoe UI"/>
            <w:color w:val="262626" w:themeColor="text1" w:themeTint="D9"/>
            <w:sz w:val="32"/>
            <w:szCs w:val="32"/>
            <w:u w:val="none"/>
            <w:shd w:val="clear" w:color="auto" w:fill="FFFFFF"/>
          </w:rPr>
          <w:t>up201908044</w:t>
        </w:r>
      </w:hyperlink>
    </w:p>
    <w:p w14:paraId="550694ED" w14:textId="09BB1E79" w:rsidR="001F2314" w:rsidRDefault="001F2314" w:rsidP="001F2314">
      <w:pPr>
        <w:shd w:val="clear" w:color="auto" w:fill="FFFFFF"/>
        <w:spacing w:after="100" w:afterAutospacing="1" w:line="360" w:lineRule="auto"/>
        <w:jc w:val="center"/>
        <w:outlineLvl w:val="1"/>
        <w:rPr>
          <w:rFonts w:ascii="Arial Nova" w:hAnsi="Arial Nova"/>
          <w:color w:val="262626" w:themeColor="text1" w:themeTint="D9"/>
          <w:sz w:val="32"/>
          <w:szCs w:val="32"/>
        </w:rPr>
      </w:pPr>
      <w:r>
        <w:rPr>
          <w:rFonts w:ascii="Arial Nova" w:hAnsi="Arial Nova"/>
          <w:color w:val="262626" w:themeColor="text1" w:themeTint="D9"/>
          <w:sz w:val="32"/>
          <w:szCs w:val="32"/>
        </w:rPr>
        <w:t>Tiago Filipe Lima Rocha – up201406679</w:t>
      </w:r>
    </w:p>
    <w:p w14:paraId="10A60C30" w14:textId="067686C3" w:rsidR="001F2314" w:rsidRDefault="001F2314" w:rsidP="001F2314">
      <w:pPr>
        <w:spacing w:after="100" w:afterAutospacing="1" w:line="360" w:lineRule="auto"/>
        <w:jc w:val="center"/>
        <w:textAlignment w:val="center"/>
        <w:outlineLvl w:val="1"/>
        <w:rPr>
          <w:rFonts w:ascii="Arial Nova" w:hAnsi="Arial Nova"/>
          <w:color w:val="262626" w:themeColor="text1" w:themeTint="D9"/>
          <w:sz w:val="32"/>
          <w:szCs w:val="32"/>
        </w:rPr>
      </w:pPr>
      <w:r w:rsidRPr="001F2314">
        <w:rPr>
          <w:rFonts w:ascii="Arial Nova" w:eastAsia="Times New Roman" w:hAnsi="Arial Nova" w:cs="Times New Roman"/>
          <w:color w:val="262626" w:themeColor="text1" w:themeTint="D9"/>
          <w:sz w:val="32"/>
          <w:szCs w:val="32"/>
          <w:lang w:eastAsia="pt-PT"/>
        </w:rPr>
        <w:t>Vasco David Antunes Pereira Gome</w:t>
      </w:r>
      <w:r w:rsidRPr="001F2314">
        <w:rPr>
          <w:rFonts w:ascii="Arial Nova" w:eastAsia="Times New Roman" w:hAnsi="Arial Nova" w:cs="Times New Roman"/>
          <w:color w:val="262626" w:themeColor="text1" w:themeTint="D9"/>
          <w:sz w:val="32"/>
          <w:szCs w:val="32"/>
          <w:lang w:eastAsia="pt-PT"/>
        </w:rPr>
        <w:t>s</w:t>
      </w:r>
      <w:r>
        <w:rPr>
          <w:rFonts w:ascii="Arial Nova" w:eastAsia="Times New Roman" w:hAnsi="Arial Nova" w:cs="Times New Roman"/>
          <w:color w:val="262626" w:themeColor="text1" w:themeTint="D9"/>
          <w:sz w:val="32"/>
          <w:szCs w:val="32"/>
          <w:lang w:eastAsia="pt-PT"/>
        </w:rPr>
        <w:t xml:space="preserve"> - </w:t>
      </w:r>
      <w:hyperlink r:id="rId9" w:history="1">
        <w:r w:rsidRPr="001F2314">
          <w:rPr>
            <w:rStyle w:val="Hiperligao"/>
            <w:rFonts w:ascii="Arial Nova" w:hAnsi="Arial Nova" w:cs="Segoe UI"/>
            <w:color w:val="262626" w:themeColor="text1" w:themeTint="D9"/>
            <w:sz w:val="32"/>
            <w:szCs w:val="32"/>
            <w:u w:val="none"/>
            <w:shd w:val="clear" w:color="auto" w:fill="FFFFFF"/>
          </w:rPr>
          <w:t>up201906617</w:t>
        </w:r>
      </w:hyperlink>
    </w:p>
    <w:p w14:paraId="0C1C9AB2" w14:textId="307EA6E3" w:rsidR="001F2314" w:rsidRDefault="001F2314" w:rsidP="001F2314">
      <w:pPr>
        <w:spacing w:after="100" w:afterAutospacing="1" w:line="240" w:lineRule="auto"/>
        <w:jc w:val="center"/>
        <w:textAlignment w:val="center"/>
        <w:outlineLvl w:val="1"/>
        <w:rPr>
          <w:rFonts w:ascii="Arial Nova" w:eastAsia="Times New Roman" w:hAnsi="Arial Nova" w:cs="Times New Roman"/>
          <w:color w:val="262626" w:themeColor="text1" w:themeTint="D9"/>
          <w:sz w:val="32"/>
          <w:szCs w:val="32"/>
          <w:lang w:eastAsia="pt-PT"/>
        </w:rPr>
      </w:pPr>
    </w:p>
    <w:p w14:paraId="75CC326B" w14:textId="20CA7CFB" w:rsidR="007506B3" w:rsidRPr="007506B3" w:rsidRDefault="007506B3" w:rsidP="007506B3">
      <w:pPr>
        <w:pStyle w:val="Ttulo2"/>
        <w:shd w:val="clear" w:color="auto" w:fill="FFFFFF"/>
        <w:spacing w:before="0" w:beforeAutospacing="0"/>
        <w:rPr>
          <w:rFonts w:ascii="Arial Nova" w:hAnsi="Arial Nova" w:cs="Segoe UI"/>
          <w:b w:val="0"/>
          <w:bCs w:val="0"/>
          <w:color w:val="2E74B5" w:themeColor="accent1" w:themeShade="BF"/>
          <w:sz w:val="32"/>
          <w:szCs w:val="32"/>
        </w:rPr>
      </w:pPr>
      <w:r w:rsidRPr="007506B3">
        <w:rPr>
          <w:rFonts w:ascii="Arial Nova" w:hAnsi="Arial Nova" w:cs="Segoe UI"/>
          <w:b w:val="0"/>
          <w:bCs w:val="0"/>
          <w:color w:val="2E74B5" w:themeColor="accent1" w:themeShade="BF"/>
          <w:sz w:val="32"/>
          <w:szCs w:val="32"/>
        </w:rPr>
        <w:t>Fármaco</w:t>
      </w:r>
      <w:r w:rsidRPr="007506B3">
        <w:rPr>
          <w:rFonts w:ascii="Arial Nova" w:hAnsi="Arial Nova" w:cs="Segoe UI"/>
          <w:b w:val="0"/>
          <w:bCs w:val="0"/>
          <w:color w:val="2E74B5" w:themeColor="accent1" w:themeShade="BF"/>
          <w:sz w:val="32"/>
          <w:szCs w:val="32"/>
        </w:rPr>
        <w:t xml:space="preserve"> C</w:t>
      </w:r>
      <w:r w:rsidRPr="007506B3">
        <w:rPr>
          <w:rFonts w:ascii="Arial Nova" w:hAnsi="Arial Nova" w:cs="Segoe UI"/>
          <w:b w:val="0"/>
          <w:bCs w:val="0"/>
          <w:color w:val="2E74B5" w:themeColor="accent1" w:themeShade="BF"/>
          <w:sz w:val="32"/>
          <w:szCs w:val="32"/>
        </w:rPr>
        <w:t>inética, uma introdução</w:t>
      </w:r>
    </w:p>
    <w:p w14:paraId="35B725AA" w14:textId="77777777" w:rsidR="007506B3" w:rsidRPr="007506B3" w:rsidRDefault="007506B3" w:rsidP="007506B3">
      <w:pPr>
        <w:pStyle w:val="NormalWeb"/>
        <w:shd w:val="clear" w:color="auto" w:fill="FFFFFF"/>
        <w:spacing w:before="0" w:beforeAutospacing="0" w:line="276" w:lineRule="auto"/>
        <w:rPr>
          <w:rFonts w:ascii="Segoe UI" w:hAnsi="Segoe UI" w:cs="Segoe UI"/>
          <w:color w:val="373A3C"/>
        </w:rPr>
      </w:pPr>
      <w:r w:rsidRPr="007506B3">
        <w:rPr>
          <w:rFonts w:ascii="Segoe UI" w:hAnsi="Segoe UI" w:cs="Segoe UI"/>
          <w:color w:val="373A3C"/>
        </w:rPr>
        <w:t>Os modelos farmacocinéticos permitem estudar, simular e fazer previsões da resposta do organismo a diferentes dosagens e formas de administração de fármacos.</w:t>
      </w:r>
    </w:p>
    <w:p w14:paraId="4E2CA8B9" w14:textId="44B1CB84" w:rsidR="007506B3" w:rsidRPr="007506B3" w:rsidRDefault="007506B3" w:rsidP="007506B3">
      <w:pPr>
        <w:pStyle w:val="NormalWeb"/>
        <w:shd w:val="clear" w:color="auto" w:fill="FFFFFF"/>
        <w:spacing w:before="0" w:beforeAutospacing="0" w:line="276" w:lineRule="auto"/>
        <w:rPr>
          <w:rFonts w:ascii="Segoe UI" w:hAnsi="Segoe UI" w:cs="Segoe UI"/>
          <w:color w:val="373A3C"/>
        </w:rPr>
      </w:pPr>
      <w:r w:rsidRPr="007506B3">
        <w:rPr>
          <w:rFonts w:ascii="Segoe UI" w:hAnsi="Segoe UI" w:cs="Segoe UI"/>
          <w:color w:val="373A3C"/>
        </w:rPr>
        <w:t xml:space="preserve">Um fármaco entra no organismo por administração oral, </w:t>
      </w:r>
      <w:proofErr w:type="spellStart"/>
      <w:r w:rsidRPr="007506B3">
        <w:rPr>
          <w:rFonts w:ascii="Segoe UI" w:hAnsi="Segoe UI" w:cs="Segoe UI"/>
          <w:color w:val="373A3C"/>
        </w:rPr>
        <w:t>intracutânea</w:t>
      </w:r>
      <w:proofErr w:type="spellEnd"/>
      <w:r w:rsidRPr="007506B3">
        <w:rPr>
          <w:rFonts w:ascii="Segoe UI" w:hAnsi="Segoe UI" w:cs="Segoe UI"/>
          <w:color w:val="373A3C"/>
        </w:rPr>
        <w:t xml:space="preserve">, intravenosa ou por inalação. Após a administração o fármaco é distribuído aos órgãos e tecidos através do plasma sanguíneo. A concentração da substância no plasma deve ser suficientemente grande para produzir uma resposta do organismo, mas ao mesmo tempo não deve ultrapassar níveis que gerem toxicidade. Como não é clinicamente possível medir a concentração da substância nos órgãos e tecidos usa-se a concentração plasmática considerando </w:t>
      </w:r>
      <w:r w:rsidRPr="007506B3">
        <w:rPr>
          <w:rFonts w:ascii="Segoe UI" w:hAnsi="Segoe UI" w:cs="Segoe UI"/>
          <w:color w:val="373A3C"/>
        </w:rPr>
        <w:lastRenderedPageBreak/>
        <w:t xml:space="preserve">que esta tem uma relação linear com a concentração do fármaco no local de </w:t>
      </w:r>
      <w:r w:rsidRPr="007506B3">
        <w:rPr>
          <w:rFonts w:ascii="Segoe UI" w:hAnsi="Segoe UI" w:cs="Segoe UI"/>
          <w:color w:val="373A3C"/>
        </w:rPr>
        <w:t>ação</w:t>
      </w:r>
      <w:r w:rsidRPr="007506B3">
        <w:rPr>
          <w:rFonts w:ascii="Segoe UI" w:hAnsi="Segoe UI" w:cs="Segoe UI"/>
          <w:color w:val="373A3C"/>
        </w:rPr>
        <w:t>.</w:t>
      </w:r>
    </w:p>
    <w:p w14:paraId="05D52FAE" w14:textId="77777777" w:rsidR="007506B3" w:rsidRPr="001F2314" w:rsidRDefault="007506B3" w:rsidP="001F2314">
      <w:pPr>
        <w:spacing w:after="100" w:afterAutospacing="1" w:line="240" w:lineRule="auto"/>
        <w:jc w:val="center"/>
        <w:textAlignment w:val="center"/>
        <w:outlineLvl w:val="1"/>
        <w:rPr>
          <w:rFonts w:ascii="Arial Nova" w:eastAsia="Times New Roman" w:hAnsi="Arial Nova" w:cs="Times New Roman"/>
          <w:color w:val="262626" w:themeColor="text1" w:themeTint="D9"/>
          <w:sz w:val="32"/>
          <w:szCs w:val="32"/>
          <w:lang w:eastAsia="pt-PT"/>
        </w:rPr>
      </w:pPr>
    </w:p>
    <w:p w14:paraId="0D104726" w14:textId="1029631F" w:rsidR="001F2314" w:rsidRDefault="007506B3" w:rsidP="001F231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 Nova" w:eastAsia="Times New Roman" w:hAnsi="Arial Nova" w:cs="Segoe UI"/>
          <w:color w:val="262626" w:themeColor="text1" w:themeTint="D9"/>
          <w:sz w:val="32"/>
          <w:szCs w:val="32"/>
          <w:lang w:eastAsia="pt-PT"/>
        </w:rPr>
      </w:pPr>
      <w:r>
        <w:rPr>
          <w:rFonts w:ascii="Arial Nova" w:eastAsia="Times New Roman" w:hAnsi="Arial Nova" w:cs="Segoe UI"/>
          <w:noProof/>
          <w:color w:val="000000" w:themeColor="text1"/>
          <w:sz w:val="32"/>
          <w:szCs w:val="32"/>
          <w:lang w:eastAsia="pt-PT"/>
        </w:rPr>
        <w:drawing>
          <wp:inline distT="0" distB="0" distL="0" distR="0" wp14:anchorId="5871B8A9" wp14:editId="5AA1E70A">
            <wp:extent cx="5400040" cy="2443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AF6D" w14:textId="77777777" w:rsidR="007506B3" w:rsidRDefault="007506B3" w:rsidP="007506B3">
      <w:pPr>
        <w:pStyle w:val="Ttulo3"/>
        <w:shd w:val="clear" w:color="auto" w:fill="FFFFFF"/>
        <w:spacing w:before="0"/>
        <w:rPr>
          <w:rFonts w:ascii="Arial Nova" w:hAnsi="Arial Nova" w:cs="Segoe UI"/>
          <w:b/>
          <w:bCs/>
          <w:color w:val="373A3C"/>
        </w:rPr>
      </w:pPr>
    </w:p>
    <w:p w14:paraId="14895455" w14:textId="1C3FB7EA" w:rsidR="007506B3" w:rsidRPr="007506B3" w:rsidRDefault="007506B3" w:rsidP="007506B3">
      <w:pPr>
        <w:pStyle w:val="Ttulo3"/>
        <w:shd w:val="clear" w:color="auto" w:fill="FFFFFF"/>
        <w:spacing w:before="0" w:line="360" w:lineRule="auto"/>
        <w:rPr>
          <w:rFonts w:ascii="Arial Nova" w:hAnsi="Arial Nova" w:cs="Segoe UI"/>
          <w:b/>
          <w:bCs/>
          <w:color w:val="2E74B5" w:themeColor="accent1" w:themeShade="BF"/>
          <w:sz w:val="32"/>
          <w:szCs w:val="32"/>
        </w:rPr>
      </w:pPr>
      <w:r w:rsidRPr="007506B3">
        <w:rPr>
          <w:rFonts w:ascii="Arial Nova" w:hAnsi="Arial Nova" w:cs="Segoe UI"/>
          <w:b/>
          <w:bCs/>
          <w:color w:val="2E74B5" w:themeColor="accent1" w:themeShade="BF"/>
          <w:sz w:val="32"/>
          <w:szCs w:val="32"/>
        </w:rPr>
        <w:t xml:space="preserve">Modelo </w:t>
      </w:r>
      <w:proofErr w:type="spellStart"/>
      <w:r w:rsidRPr="007506B3">
        <w:rPr>
          <w:rFonts w:ascii="Arial Nova" w:hAnsi="Arial Nova" w:cs="Segoe UI"/>
          <w:b/>
          <w:bCs/>
          <w:color w:val="2E74B5" w:themeColor="accent1" w:themeShade="BF"/>
          <w:sz w:val="32"/>
          <w:szCs w:val="32"/>
        </w:rPr>
        <w:t>Monocompartimental</w:t>
      </w:r>
      <w:proofErr w:type="spellEnd"/>
    </w:p>
    <w:p w14:paraId="1A094A34" w14:textId="7C6533AF" w:rsidR="007506B3" w:rsidRPr="007506B3" w:rsidRDefault="007506B3" w:rsidP="007506B3">
      <w:pPr>
        <w:pStyle w:val="NormalWeb"/>
        <w:shd w:val="clear" w:color="auto" w:fill="FFFFFF"/>
        <w:spacing w:before="0" w:beforeAutospacing="0" w:line="276" w:lineRule="auto"/>
        <w:rPr>
          <w:rFonts w:ascii="Arial Nova" w:hAnsi="Arial Nova" w:cs="Segoe UI"/>
          <w:color w:val="373A3C"/>
        </w:rPr>
      </w:pPr>
      <w:r w:rsidRPr="007506B3">
        <w:rPr>
          <w:rFonts w:ascii="Arial Nova" w:hAnsi="Arial Nova" w:cs="Segoe UI"/>
          <w:color w:val="373A3C"/>
        </w:rPr>
        <w:t xml:space="preserve">A abordagem mais simples recorre a modelos de um só compartimento que </w:t>
      </w:r>
      <w:r>
        <w:rPr>
          <w:rFonts w:ascii="Arial Nova" w:hAnsi="Arial Nova" w:cs="Segoe UI"/>
          <w:color w:val="373A3C"/>
        </w:rPr>
        <w:t>c</w:t>
      </w:r>
      <w:r w:rsidRPr="007506B3">
        <w:rPr>
          <w:rFonts w:ascii="Arial Nova" w:hAnsi="Arial Nova" w:cs="Segoe UI"/>
          <w:color w:val="373A3C"/>
        </w:rPr>
        <w:t>ondensa todo o corpo humano (órgãos, tecidos e plasma sanguíneo), com uma entrada (unificadora de todas as vias de administração) e uma saída (que reúne todos os meios excretores) (ver fig. 2).</w:t>
      </w:r>
      <w:r w:rsidRPr="007506B3">
        <w:rPr>
          <w:rFonts w:ascii="Arial Nova" w:hAnsi="Arial Nova" w:cs="Segoe UI"/>
          <w:color w:val="373A3C"/>
        </w:rPr>
        <w:br/>
        <w:t>Este modelo é descrito pela equação diferencial seguinte:</w:t>
      </w:r>
    </w:p>
    <w:p w14:paraId="5D32D4DD" w14:textId="6B63F666" w:rsidR="001F2314" w:rsidRDefault="007506B3" w:rsidP="007506B3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 Nova" w:eastAsia="Times New Roman" w:hAnsi="Arial Nova" w:cs="Segoe UI"/>
          <w:color w:val="262626" w:themeColor="text1" w:themeTint="D9"/>
          <w:sz w:val="32"/>
          <w:szCs w:val="32"/>
          <w:lang w:eastAsia="pt-PT"/>
        </w:rPr>
      </w:pPr>
      <w:r>
        <w:rPr>
          <w:rFonts w:ascii="Arial Nova" w:eastAsia="Times New Roman" w:hAnsi="Arial Nova" w:cs="Segoe UI"/>
          <w:noProof/>
          <w:color w:val="000000" w:themeColor="text1"/>
          <w:sz w:val="32"/>
          <w:szCs w:val="32"/>
          <w:lang w:eastAsia="pt-PT"/>
        </w:rPr>
        <w:drawing>
          <wp:inline distT="0" distB="0" distL="0" distR="0" wp14:anchorId="573D1202" wp14:editId="771151F3">
            <wp:extent cx="2238687" cy="800212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BEAE" w14:textId="77777777" w:rsidR="007506B3" w:rsidRPr="007506B3" w:rsidRDefault="007506B3" w:rsidP="007506B3">
      <w:pPr>
        <w:shd w:val="clear" w:color="auto" w:fill="FFFFFF"/>
        <w:spacing w:after="10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onde:</w:t>
      </w:r>
    </w:p>
    <w:p w14:paraId="7077FC7D" w14:textId="0FEEE797" w:rsidR="007506B3" w:rsidRPr="007506B3" w:rsidRDefault="007506B3" w:rsidP="007506B3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V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a</w:t>
      </w:r>
      <w:r w:rsidR="001B426C" w:rsidRPr="001B426C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p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é o volume aparente de plasma (</w:t>
      </w: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mL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),</w:t>
      </w:r>
    </w:p>
    <w:p w14:paraId="461E3B19" w14:textId="5B37330B" w:rsidR="007506B3" w:rsidRPr="007506B3" w:rsidRDefault="007506B3" w:rsidP="007506B3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gram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t</w:t>
      </w:r>
      <w:proofErr w:type="gram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é o tempo decorrido (na unidade conveniente)</w:t>
      </w:r>
    </w:p>
    <w:p w14:paraId="10CE194F" w14:textId="0246318C" w:rsidR="007506B3" w:rsidRPr="007506B3" w:rsidRDefault="007506B3" w:rsidP="007506B3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C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p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a concentração do fármaco no plasma (mg mL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vertAlign w:val="superscript"/>
          <w:lang w:eastAsia="pt-PT"/>
        </w:rPr>
        <w:t>-1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</w:t>
      </w:r>
    </w:p>
    <w:p w14:paraId="4DAD9C67" w14:textId="4849F6B7" w:rsidR="007506B3" w:rsidRPr="007506B3" w:rsidRDefault="007506B3" w:rsidP="007506B3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D(t)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a dose administrada como função do tempo (mg min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vertAlign w:val="superscript"/>
          <w:lang w:eastAsia="pt-PT"/>
        </w:rPr>
        <w:t>-1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</w:t>
      </w:r>
    </w:p>
    <w:p w14:paraId="1855F7CF" w14:textId="15AED7E5" w:rsidR="007506B3" w:rsidRDefault="007506B3" w:rsidP="007506B3">
      <w:pPr>
        <w:numPr>
          <w:ilvl w:val="0"/>
          <w:numId w:val="1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K</w:t>
      </w:r>
      <w:r w:rsidR="001B426C" w:rsidRPr="001B426C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e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a taxa de eliminação do fármaco (</w:t>
      </w: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mL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vertAlign w:val="superscript"/>
          <w:lang w:eastAsia="pt-PT"/>
        </w:rPr>
        <w:t>-1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).</w:t>
      </w:r>
    </w:p>
    <w:p w14:paraId="36172BCB" w14:textId="31F7E2A3" w:rsidR="007506B3" w:rsidRDefault="007506B3" w:rsidP="007506B3">
      <w:p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</w:p>
    <w:p w14:paraId="0DBE6388" w14:textId="5BFD037D" w:rsidR="007506B3" w:rsidRDefault="007506B3" w:rsidP="007506B3">
      <w:p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</w:p>
    <w:p w14:paraId="4549F04E" w14:textId="7F43F1E4" w:rsidR="007506B3" w:rsidRPr="007506B3" w:rsidRDefault="007506B3" w:rsidP="007506B3">
      <w:p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>
        <w:rPr>
          <w:rFonts w:ascii="Arial Nova" w:eastAsia="Times New Roman" w:hAnsi="Arial Nova" w:cs="Segoe UI"/>
          <w:noProof/>
          <w:color w:val="373A3C"/>
          <w:sz w:val="24"/>
          <w:szCs w:val="24"/>
          <w:lang w:eastAsia="pt-PT"/>
        </w:rPr>
        <w:lastRenderedPageBreak/>
        <w:drawing>
          <wp:inline distT="0" distB="0" distL="0" distR="0" wp14:anchorId="6CA3B2C9" wp14:editId="08D8798B">
            <wp:extent cx="5400040" cy="12325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8DE" w14:textId="77777777" w:rsidR="007506B3" w:rsidRPr="007506B3" w:rsidRDefault="007506B3" w:rsidP="007506B3">
      <w:pPr>
        <w:shd w:val="clear" w:color="auto" w:fill="FFFFFF"/>
        <w:spacing w:after="100" w:afterAutospacing="1" w:line="240" w:lineRule="auto"/>
        <w:outlineLvl w:val="1"/>
        <w:rPr>
          <w:rFonts w:ascii="Arial Nova" w:eastAsia="Times New Roman" w:hAnsi="Arial Nova" w:cs="Segoe UI"/>
          <w:color w:val="262626" w:themeColor="text1" w:themeTint="D9"/>
          <w:sz w:val="32"/>
          <w:szCs w:val="32"/>
          <w:lang w:eastAsia="pt-PT"/>
        </w:rPr>
      </w:pPr>
    </w:p>
    <w:p w14:paraId="10BAF9C7" w14:textId="77777777" w:rsidR="007506B3" w:rsidRPr="007506B3" w:rsidRDefault="007506B3" w:rsidP="007506B3">
      <w:pPr>
        <w:pStyle w:val="Ttulo3"/>
        <w:shd w:val="clear" w:color="auto" w:fill="FFFFFF"/>
        <w:spacing w:before="0" w:line="360" w:lineRule="auto"/>
        <w:rPr>
          <w:rFonts w:ascii="Arial Nova" w:hAnsi="Arial Nova" w:cs="Segoe UI"/>
          <w:color w:val="2E74B5" w:themeColor="accent1" w:themeShade="BF"/>
          <w:sz w:val="32"/>
          <w:szCs w:val="32"/>
        </w:rPr>
      </w:pPr>
      <w:r w:rsidRPr="007506B3">
        <w:rPr>
          <w:rFonts w:ascii="Arial Nova" w:hAnsi="Arial Nova" w:cs="Segoe UI"/>
          <w:b/>
          <w:bCs/>
          <w:color w:val="2E74B5" w:themeColor="accent1" w:themeShade="BF"/>
          <w:sz w:val="32"/>
          <w:szCs w:val="32"/>
        </w:rPr>
        <w:t xml:space="preserve">Modelo </w:t>
      </w:r>
      <w:proofErr w:type="spellStart"/>
      <w:r w:rsidRPr="007506B3">
        <w:rPr>
          <w:rFonts w:ascii="Arial Nova" w:hAnsi="Arial Nova" w:cs="Segoe UI"/>
          <w:b/>
          <w:bCs/>
          <w:color w:val="2E74B5" w:themeColor="accent1" w:themeShade="BF"/>
          <w:sz w:val="32"/>
          <w:szCs w:val="32"/>
        </w:rPr>
        <w:t>Bicompartimental</w:t>
      </w:r>
      <w:proofErr w:type="spellEnd"/>
    </w:p>
    <w:p w14:paraId="700CEEC7" w14:textId="68FB18DF" w:rsidR="007506B3" w:rsidRDefault="007506B3" w:rsidP="007506B3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73A3C"/>
        </w:rPr>
      </w:pPr>
      <w:r w:rsidRPr="007506B3">
        <w:rPr>
          <w:rFonts w:ascii="Arial Nova" w:hAnsi="Arial Nova" w:cs="Segoe UI"/>
          <w:color w:val="373A3C"/>
        </w:rPr>
        <w:t xml:space="preserve">Outra abordagem, dita </w:t>
      </w:r>
      <w:proofErr w:type="spellStart"/>
      <w:r w:rsidRPr="007506B3">
        <w:rPr>
          <w:rFonts w:ascii="Arial Nova" w:hAnsi="Arial Nova" w:cs="Segoe UI"/>
          <w:color w:val="373A3C"/>
        </w:rPr>
        <w:t>bicompartimental</w:t>
      </w:r>
      <w:proofErr w:type="spellEnd"/>
      <w:r w:rsidRPr="007506B3">
        <w:rPr>
          <w:rFonts w:ascii="Arial Nova" w:hAnsi="Arial Nova" w:cs="Segoe UI"/>
          <w:color w:val="373A3C"/>
        </w:rPr>
        <w:t xml:space="preserve">, considera dois grandes compartimentos: o compartimento central que representa o meio pelo qual o fármaco entra no organismo (incluindo as vias de administração e de </w:t>
      </w:r>
      <w:r>
        <w:rPr>
          <w:rFonts w:ascii="Arial Nova" w:hAnsi="Arial Nova" w:cs="Segoe UI"/>
          <w:color w:val="373A3C"/>
        </w:rPr>
        <w:t>i</w:t>
      </w:r>
      <w:r w:rsidRPr="007506B3">
        <w:rPr>
          <w:rFonts w:ascii="Arial Nova" w:hAnsi="Arial Nova" w:cs="Segoe UI"/>
          <w:color w:val="373A3C"/>
        </w:rPr>
        <w:t xml:space="preserve">ncorporação </w:t>
      </w:r>
      <w:proofErr w:type="spellStart"/>
      <w:r w:rsidRPr="007506B3">
        <w:rPr>
          <w:rFonts w:ascii="Arial Nova" w:hAnsi="Arial Nova" w:cs="Segoe UI"/>
          <w:color w:val="373A3C"/>
        </w:rPr>
        <w:t>gastro-intestinal</w:t>
      </w:r>
      <w:proofErr w:type="spellEnd"/>
      <w:r w:rsidRPr="007506B3">
        <w:rPr>
          <w:rFonts w:ascii="Arial Nova" w:hAnsi="Arial Nova" w:cs="Segoe UI"/>
          <w:color w:val="373A3C"/>
        </w:rPr>
        <w:t xml:space="preserve">, </w:t>
      </w:r>
      <w:proofErr w:type="spellStart"/>
      <w:r w:rsidRPr="007506B3">
        <w:rPr>
          <w:rFonts w:ascii="Arial Nova" w:hAnsi="Arial Nova" w:cs="Segoe UI"/>
          <w:color w:val="373A3C"/>
        </w:rPr>
        <w:t>transdermal</w:t>
      </w:r>
      <w:proofErr w:type="spellEnd"/>
      <w:r w:rsidRPr="007506B3">
        <w:rPr>
          <w:rFonts w:ascii="Arial Nova" w:hAnsi="Arial Nova" w:cs="Segoe UI"/>
          <w:color w:val="373A3C"/>
        </w:rPr>
        <w:t xml:space="preserve"> ou pulmonar) e, o segundo compartimento representado pelo plasma sanguíneo (ver fig. 3).</w:t>
      </w:r>
      <w:r w:rsidRPr="007506B3">
        <w:rPr>
          <w:rFonts w:ascii="Arial Nova" w:hAnsi="Arial Nova" w:cs="Segoe UI"/>
          <w:color w:val="373A3C"/>
        </w:rPr>
        <w:br/>
        <w:t xml:space="preserve">O modelo </w:t>
      </w:r>
      <w:proofErr w:type="spellStart"/>
      <w:r w:rsidRPr="007506B3">
        <w:rPr>
          <w:rFonts w:ascii="Arial Nova" w:hAnsi="Arial Nova" w:cs="Segoe UI"/>
          <w:color w:val="373A3C"/>
        </w:rPr>
        <w:t>bicompartimental</w:t>
      </w:r>
      <w:proofErr w:type="spellEnd"/>
      <w:r w:rsidRPr="007506B3">
        <w:rPr>
          <w:rFonts w:ascii="Arial Nova" w:hAnsi="Arial Nova" w:cs="Segoe UI"/>
          <w:color w:val="373A3C"/>
        </w:rPr>
        <w:t xml:space="preserve"> resulta de um balanço mássico nos dois compartimentos que se traduz pelo seguinte sistema de equações diferenciais de 1ª ordem:</w:t>
      </w:r>
    </w:p>
    <w:p w14:paraId="03F60698" w14:textId="760CCBD2" w:rsidR="007506B3" w:rsidRPr="007506B3" w:rsidRDefault="007506B3" w:rsidP="007506B3">
      <w:pPr>
        <w:pStyle w:val="NormalWeb"/>
        <w:shd w:val="clear" w:color="auto" w:fill="FFFFFF"/>
        <w:spacing w:before="0" w:beforeAutospacing="0"/>
        <w:jc w:val="center"/>
        <w:rPr>
          <w:rFonts w:ascii="Arial Nova" w:hAnsi="Arial Nova" w:cs="Segoe UI"/>
          <w:color w:val="373A3C"/>
        </w:rPr>
      </w:pPr>
      <w:r>
        <w:rPr>
          <w:rFonts w:ascii="Arial Nova" w:hAnsi="Arial Nova" w:cs="Segoe UI"/>
          <w:noProof/>
          <w:color w:val="373A3C"/>
        </w:rPr>
        <w:drawing>
          <wp:inline distT="0" distB="0" distL="0" distR="0" wp14:anchorId="63F43637" wp14:editId="334F19FC">
            <wp:extent cx="2200582" cy="847843"/>
            <wp:effectExtent l="0" t="0" r="9525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0E91" w14:textId="77777777" w:rsidR="007506B3" w:rsidRPr="007506B3" w:rsidRDefault="007506B3" w:rsidP="007506B3">
      <w:pPr>
        <w:shd w:val="clear" w:color="auto" w:fill="FFFFFF"/>
        <w:spacing w:after="10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em que:</w:t>
      </w:r>
    </w:p>
    <w:p w14:paraId="392CB7C7" w14:textId="73B6085B" w:rsidR="007506B3" w:rsidRPr="007506B3" w:rsidRDefault="001B426C" w:rsidP="007506B3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m</w:t>
      </w:r>
      <w:r w:rsidRPr="001B426C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i</w:t>
      </w:r>
      <w:r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 xml:space="preserve"> </w:t>
      </w:r>
      <w:r w:rsidR="007506B3"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é a massa de fármaco presente no compartimento central (mg), o índice </w:t>
      </w:r>
      <w:r w:rsidR="007506B3" w:rsidRPr="007506B3">
        <w:rPr>
          <w:rFonts w:ascii="Arial Nova" w:eastAsia="Times New Roman" w:hAnsi="Arial Nova" w:cs="Segoe UI"/>
          <w:i/>
          <w:iCs/>
          <w:color w:val="373A3C"/>
          <w:sz w:val="24"/>
          <w:szCs w:val="24"/>
          <w:lang w:eastAsia="pt-PT"/>
        </w:rPr>
        <w:t>i</w:t>
      </w:r>
      <w:r w:rsidR="007506B3"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diferencia as vias de administração,</w:t>
      </w:r>
    </w:p>
    <w:p w14:paraId="039324BD" w14:textId="19B6E9F6" w:rsidR="007506B3" w:rsidRPr="007506B3" w:rsidRDefault="007506B3" w:rsidP="007506B3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m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p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é a massa de fármaco no compartimento plasmático (mg);</w:t>
      </w:r>
    </w:p>
    <w:p w14:paraId="3EF5192A" w14:textId="6916924D" w:rsidR="007506B3" w:rsidRPr="007506B3" w:rsidRDefault="007506B3" w:rsidP="007506B3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K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a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é a constante cinética de absorção (min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vertAlign w:val="superscript"/>
          <w:lang w:eastAsia="pt-PT"/>
        </w:rPr>
        <w:t>-1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);</w:t>
      </w:r>
    </w:p>
    <w:p w14:paraId="5BD32411" w14:textId="4FDC99B8" w:rsidR="007506B3" w:rsidRPr="007506B3" w:rsidRDefault="007506B3" w:rsidP="007506B3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K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et</w:t>
      </w:r>
      <w:proofErr w:type="spell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é a constante cinética de eliminação total (min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vertAlign w:val="superscript"/>
          <w:lang w:eastAsia="pt-PT"/>
        </w:rPr>
        <w:t>-1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</w:t>
      </w:r>
    </w:p>
    <w:p w14:paraId="4E1B88C6" w14:textId="5D0213D0" w:rsidR="007506B3" w:rsidRPr="007506B3" w:rsidRDefault="007506B3" w:rsidP="007506B3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D(t)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 é a dose administrada como função do tempo (mg min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vertAlign w:val="superscript"/>
          <w:lang w:eastAsia="pt-PT"/>
        </w:rPr>
        <w:t>-1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</w:t>
      </w:r>
    </w:p>
    <w:p w14:paraId="115B03A7" w14:textId="33BF08F3" w:rsidR="007506B3" w:rsidRPr="007506B3" w:rsidRDefault="007506B3" w:rsidP="007506B3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t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 xml:space="preserve"> o tempo decorrido (na </w:t>
      </w:r>
      <w:proofErr w:type="gramStart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unidades conveniente</w:t>
      </w:r>
      <w:proofErr w:type="gramEnd"/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)</w:t>
      </w:r>
    </w:p>
    <w:p w14:paraId="300386A4" w14:textId="5E865613" w:rsidR="001F2314" w:rsidRDefault="007506B3" w:rsidP="001F2314">
      <w:pPr>
        <w:tabs>
          <w:tab w:val="left" w:pos="3225"/>
        </w:tabs>
      </w:pPr>
      <w:r>
        <w:rPr>
          <w:noProof/>
        </w:rPr>
        <w:lastRenderedPageBreak/>
        <w:drawing>
          <wp:inline distT="0" distB="0" distL="0" distR="0" wp14:anchorId="1F3A79C3" wp14:editId="7BC5637B">
            <wp:extent cx="5400040" cy="43935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026C" w14:textId="70EECFE3" w:rsidR="007506B3" w:rsidRDefault="007506B3" w:rsidP="007506B3">
      <w:pPr>
        <w:tabs>
          <w:tab w:val="left" w:pos="3225"/>
        </w:tabs>
        <w:spacing w:line="276" w:lineRule="auto"/>
        <w:rPr>
          <w:rFonts w:ascii="Arial Nova" w:hAnsi="Arial Nova" w:cs="Segoe UI"/>
          <w:color w:val="373A3C"/>
          <w:sz w:val="24"/>
          <w:szCs w:val="24"/>
          <w:shd w:val="clear" w:color="auto" w:fill="FFFFFF"/>
        </w:rPr>
      </w:pPr>
      <w:r w:rsidRPr="007506B3">
        <w:rPr>
          <w:rFonts w:ascii="Arial Nova" w:hAnsi="Arial Nova" w:cs="Segoe UI"/>
          <w:color w:val="373A3C"/>
          <w:sz w:val="24"/>
          <w:szCs w:val="24"/>
          <w:shd w:val="clear" w:color="auto" w:fill="FFFFFF"/>
        </w:rPr>
        <w:t>Nos modelos anteriores, os valores dos parâmetros </w:t>
      </w:r>
      <w:proofErr w:type="spellStart"/>
      <w:r w:rsidRPr="007506B3">
        <w:rPr>
          <w:rStyle w:val="nfase"/>
          <w:rFonts w:ascii="Arial Nova" w:hAnsi="Arial Nova" w:cs="Segoe UI"/>
          <w:color w:val="373A3C"/>
          <w:sz w:val="24"/>
          <w:szCs w:val="24"/>
          <w:shd w:val="clear" w:color="auto" w:fill="FFFFFF"/>
        </w:rPr>
        <w:t>V</w:t>
      </w:r>
      <w:r w:rsidRPr="007506B3">
        <w:rPr>
          <w:rStyle w:val="nfase"/>
          <w:rFonts w:ascii="Arial Nova" w:hAnsi="Arial Nova" w:cs="Segoe UI"/>
          <w:color w:val="373A3C"/>
          <w:sz w:val="24"/>
          <w:szCs w:val="24"/>
          <w:shd w:val="clear" w:color="auto" w:fill="FFFFFF"/>
          <w:vertAlign w:val="subscript"/>
        </w:rPr>
        <w:t>ap</w:t>
      </w:r>
      <w:proofErr w:type="spellEnd"/>
      <w:r w:rsidRPr="007506B3">
        <w:rPr>
          <w:rFonts w:ascii="Arial Nova" w:hAnsi="Arial Nova" w:cs="Segoe UI"/>
          <w:color w:val="373A3C"/>
          <w:sz w:val="24"/>
          <w:szCs w:val="24"/>
          <w:shd w:val="clear" w:color="auto" w:fill="FFFFFF"/>
        </w:rPr>
        <w:t>, e </w:t>
      </w:r>
      <w:proofErr w:type="spellStart"/>
      <w:r w:rsidRPr="007506B3">
        <w:rPr>
          <w:rStyle w:val="nfase"/>
          <w:rFonts w:ascii="Arial Nova" w:hAnsi="Arial Nova" w:cs="Segoe UI"/>
          <w:color w:val="373A3C"/>
          <w:sz w:val="24"/>
          <w:szCs w:val="24"/>
          <w:shd w:val="clear" w:color="auto" w:fill="FFFFFF"/>
        </w:rPr>
        <w:t>K</w:t>
      </w:r>
      <w:r w:rsidRPr="007506B3">
        <w:rPr>
          <w:rStyle w:val="nfase"/>
          <w:rFonts w:ascii="Arial Nova" w:hAnsi="Arial Nova" w:cs="Segoe UI"/>
          <w:color w:val="373A3C"/>
          <w:sz w:val="24"/>
          <w:szCs w:val="24"/>
          <w:shd w:val="clear" w:color="auto" w:fill="FFFFFF"/>
          <w:vertAlign w:val="subscript"/>
        </w:rPr>
        <w:t>e</w:t>
      </w:r>
      <w:proofErr w:type="spellEnd"/>
      <w:r w:rsidRPr="007506B3">
        <w:rPr>
          <w:rFonts w:ascii="Arial Nova" w:hAnsi="Arial Nova" w:cs="Segoe UI"/>
          <w:color w:val="373A3C"/>
          <w:sz w:val="24"/>
          <w:szCs w:val="24"/>
          <w:shd w:val="clear" w:color="auto" w:fill="FFFFFF"/>
        </w:rPr>
        <w:t> podem ser consultados na literatura da especialidade.</w:t>
      </w:r>
      <w:r w:rsidRPr="007506B3">
        <w:rPr>
          <w:rFonts w:ascii="Arial Nova" w:hAnsi="Arial Nova" w:cs="Segoe UI"/>
          <w:color w:val="373A3C"/>
          <w:sz w:val="24"/>
          <w:szCs w:val="24"/>
        </w:rPr>
        <w:br/>
      </w:r>
      <w:r w:rsidRPr="007506B3">
        <w:rPr>
          <w:rFonts w:ascii="Arial Nova" w:hAnsi="Arial Nova" w:cs="Segoe UI"/>
          <w:color w:val="373A3C"/>
          <w:sz w:val="24"/>
          <w:szCs w:val="24"/>
          <w:shd w:val="clear" w:color="auto" w:fill="FFFFFF"/>
        </w:rPr>
        <w:t>A constante de absorção é calculada para cada fármaco de acordo com a equação não linear:</w:t>
      </w:r>
    </w:p>
    <w:p w14:paraId="14AA2623" w14:textId="21A8AF47" w:rsidR="007506B3" w:rsidRDefault="007506B3" w:rsidP="007506B3">
      <w:pPr>
        <w:tabs>
          <w:tab w:val="left" w:pos="3225"/>
        </w:tabs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09740463" wp14:editId="2A553395">
            <wp:extent cx="2448267" cy="57158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E74" w14:textId="77777777" w:rsidR="007506B3" w:rsidRPr="007506B3" w:rsidRDefault="007506B3" w:rsidP="007506B3">
      <w:pPr>
        <w:shd w:val="clear" w:color="auto" w:fill="FFFFFF"/>
        <w:spacing w:after="10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em que:</w:t>
      </w:r>
    </w:p>
    <w:p w14:paraId="3436DE94" w14:textId="60EFCB9A" w:rsidR="007506B3" w:rsidRPr="007506B3" w:rsidRDefault="007506B3" w:rsidP="007506B3">
      <w:pPr>
        <w:numPr>
          <w:ilvl w:val="0"/>
          <w:numId w:val="3"/>
        </w:numPr>
        <w:shd w:val="clear" w:color="auto" w:fill="FFFFFF"/>
        <w:spacing w:beforeAutospacing="1" w:after="0" w:afterAutospacing="1" w:line="276" w:lineRule="auto"/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</w:pPr>
      <w:proofErr w:type="spellStart"/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>t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vertAlign w:val="subscript"/>
          <w:lang w:eastAsia="pt-PT"/>
        </w:rPr>
        <w:t>max</w:t>
      </w:r>
      <w:proofErr w:type="spellEnd"/>
      <w:r w:rsidR="001B426C">
        <w:rPr>
          <w:rFonts w:ascii="Arial Nova" w:eastAsia="Times New Roman" w:hAnsi="Arial Nova" w:cs="Segoe UI"/>
          <w:color w:val="373A3C"/>
          <w:sz w:val="24"/>
          <w:szCs w:val="24"/>
          <w:bdr w:val="none" w:sz="0" w:space="0" w:color="auto" w:frame="1"/>
          <w:lang w:eastAsia="pt-PT"/>
        </w:rPr>
        <w:t xml:space="preserve"> </w:t>
      </w:r>
      <w:r w:rsidRPr="007506B3">
        <w:rPr>
          <w:rFonts w:ascii="Arial Nova" w:eastAsia="Times New Roman" w:hAnsi="Arial Nova" w:cs="Segoe UI"/>
          <w:color w:val="373A3C"/>
          <w:sz w:val="24"/>
          <w:szCs w:val="24"/>
          <w:lang w:eastAsia="pt-PT"/>
        </w:rPr>
        <w:t>é o instante (min) depois da administração, em que ocorre a concentração plasmática máxima (dado fornecido pelos laboratórios farmacêuticos).</w:t>
      </w:r>
    </w:p>
    <w:p w14:paraId="5F58E998" w14:textId="6F9D36D1" w:rsidR="007506B3" w:rsidRDefault="007506B3" w:rsidP="007506B3">
      <w:pPr>
        <w:tabs>
          <w:tab w:val="left" w:pos="3225"/>
        </w:tabs>
        <w:jc w:val="center"/>
        <w:rPr>
          <w:rFonts w:ascii="Arial Nova" w:hAnsi="Arial Nova"/>
          <w:sz w:val="24"/>
          <w:szCs w:val="24"/>
        </w:rPr>
      </w:pPr>
    </w:p>
    <w:p w14:paraId="7D4CECD4" w14:textId="0B26796E" w:rsidR="001B426C" w:rsidRDefault="001B426C" w:rsidP="007506B3">
      <w:pPr>
        <w:tabs>
          <w:tab w:val="left" w:pos="3225"/>
        </w:tabs>
        <w:jc w:val="center"/>
        <w:rPr>
          <w:rFonts w:ascii="Arial Nova" w:hAnsi="Arial Nova"/>
          <w:sz w:val="24"/>
          <w:szCs w:val="24"/>
        </w:rPr>
      </w:pPr>
    </w:p>
    <w:p w14:paraId="5E0D208A" w14:textId="38A63516" w:rsidR="001B426C" w:rsidRDefault="001B426C" w:rsidP="007506B3">
      <w:pPr>
        <w:tabs>
          <w:tab w:val="left" w:pos="3225"/>
        </w:tabs>
        <w:jc w:val="center"/>
        <w:rPr>
          <w:rFonts w:ascii="Arial Nova" w:hAnsi="Arial Nova"/>
          <w:sz w:val="24"/>
          <w:szCs w:val="24"/>
        </w:rPr>
      </w:pPr>
    </w:p>
    <w:p w14:paraId="5B4F567F" w14:textId="0DB6273F" w:rsidR="001B426C" w:rsidRDefault="001B426C" w:rsidP="007506B3">
      <w:pPr>
        <w:tabs>
          <w:tab w:val="left" w:pos="3225"/>
        </w:tabs>
        <w:jc w:val="center"/>
        <w:rPr>
          <w:rFonts w:ascii="Arial Nova" w:hAnsi="Arial Nova"/>
          <w:sz w:val="24"/>
          <w:szCs w:val="24"/>
        </w:rPr>
      </w:pPr>
    </w:p>
    <w:p w14:paraId="200C5EF3" w14:textId="15A3598F" w:rsidR="001B426C" w:rsidRDefault="001B426C" w:rsidP="007506B3">
      <w:pPr>
        <w:tabs>
          <w:tab w:val="left" w:pos="3225"/>
        </w:tabs>
        <w:jc w:val="center"/>
        <w:rPr>
          <w:rFonts w:ascii="Arial Nova" w:hAnsi="Arial Nova"/>
          <w:sz w:val="24"/>
          <w:szCs w:val="24"/>
        </w:rPr>
      </w:pPr>
    </w:p>
    <w:p w14:paraId="5E747A44" w14:textId="77777777" w:rsidR="001B426C" w:rsidRPr="001B426C" w:rsidRDefault="001B426C" w:rsidP="001B426C">
      <w:pPr>
        <w:pStyle w:val="Ttulo3"/>
        <w:shd w:val="clear" w:color="auto" w:fill="FFFFFF"/>
        <w:spacing w:before="0" w:line="360" w:lineRule="auto"/>
        <w:rPr>
          <w:rFonts w:ascii="Arial Nova" w:hAnsi="Arial Nova" w:cs="Segoe UI"/>
          <w:color w:val="2E74B5" w:themeColor="accent1" w:themeShade="BF"/>
          <w:sz w:val="32"/>
          <w:szCs w:val="32"/>
        </w:rPr>
      </w:pPr>
      <w:r w:rsidRPr="001B426C">
        <w:rPr>
          <w:rFonts w:ascii="Arial Nova" w:hAnsi="Arial Nova" w:cs="Segoe UI"/>
          <w:b/>
          <w:bCs/>
          <w:color w:val="2E74B5" w:themeColor="accent1" w:themeShade="BF"/>
          <w:sz w:val="32"/>
          <w:szCs w:val="32"/>
        </w:rPr>
        <w:lastRenderedPageBreak/>
        <w:t>Função de Administração</w:t>
      </w:r>
    </w:p>
    <w:p w14:paraId="3EADB37F" w14:textId="77777777" w:rsidR="001B426C" w:rsidRPr="001B426C" w:rsidRDefault="001B426C" w:rsidP="001B426C">
      <w:pPr>
        <w:pStyle w:val="NormalWeb"/>
        <w:shd w:val="clear" w:color="auto" w:fill="FFFFFF"/>
        <w:spacing w:before="0" w:beforeAutospacing="0" w:line="276" w:lineRule="auto"/>
        <w:rPr>
          <w:rFonts w:ascii="Arial Nova" w:hAnsi="Arial Nova" w:cs="Segoe UI"/>
          <w:color w:val="373A3C"/>
          <w:u w:val="single"/>
        </w:rPr>
      </w:pPr>
      <w:r w:rsidRPr="001B426C">
        <w:rPr>
          <w:rFonts w:ascii="Arial Nova" w:hAnsi="Arial Nova" w:cs="Segoe UI"/>
          <w:color w:val="373A3C"/>
        </w:rPr>
        <w:t>A função temporal de administração, designada acima por </w:t>
      </w:r>
      <w:r w:rsidRPr="001B426C">
        <w:rPr>
          <w:rStyle w:val="nfase"/>
          <w:rFonts w:ascii="Arial Nova" w:hAnsi="Arial Nova" w:cs="Segoe UI"/>
          <w:color w:val="373A3C"/>
        </w:rPr>
        <w:t>D(t)</w:t>
      </w:r>
      <w:r w:rsidRPr="001B426C">
        <w:rPr>
          <w:rFonts w:ascii="Arial Nova" w:hAnsi="Arial Nova" w:cs="Segoe UI"/>
          <w:color w:val="373A3C"/>
        </w:rPr>
        <w:t>, tem uma forma que varia muito com o tipo de administração. Por exemplo, a aplicação tópica de uma pomada (na pele) resulta numa função grosseiramente em forma de distribuição triangular, em que a quantidade administrada primeiro cresce e depois vai decrescendo mais ou menos lentamente ao longo do tempo. Pelo contrário, a administração intravenosa resulta numa função em forma de pedestal estreito, em que a administração é feita num tempo muito curto, com amplitude elevada e com início e fim muito bruscos – que pode aproximar-se a um impulso.</w:t>
      </w:r>
    </w:p>
    <w:p w14:paraId="35836F46" w14:textId="64F8FA78" w:rsidR="001B426C" w:rsidRPr="001B426C" w:rsidRDefault="001B426C" w:rsidP="001B426C">
      <w:pPr>
        <w:pStyle w:val="NormalWeb"/>
        <w:shd w:val="clear" w:color="auto" w:fill="FFFFFF"/>
        <w:spacing w:before="0" w:beforeAutospacing="0" w:line="276" w:lineRule="auto"/>
        <w:rPr>
          <w:rFonts w:ascii="Arial Nova" w:hAnsi="Arial Nova" w:cs="Segoe UI"/>
          <w:color w:val="373A3C"/>
        </w:rPr>
      </w:pPr>
      <w:r w:rsidRPr="001B426C">
        <w:rPr>
          <w:rFonts w:ascii="Arial Nova" w:hAnsi="Arial Nova" w:cs="Segoe UI"/>
          <w:color w:val="373A3C"/>
        </w:rPr>
        <w:br/>
        <w:t>Todas as variantes entre estes dois extremos são concebíveis: a inalação  prolongada de </w:t>
      </w:r>
      <w:proofErr w:type="spellStart"/>
      <w:r w:rsidRPr="001B426C">
        <w:rPr>
          <w:rStyle w:val="nfase"/>
          <w:rFonts w:ascii="Arial Nova" w:hAnsi="Arial Nova" w:cs="Segoe UI"/>
          <w:color w:val="373A3C"/>
        </w:rPr>
        <w:t>Atrovent</w:t>
      </w:r>
      <w:proofErr w:type="spellEnd"/>
      <w:r w:rsidRPr="001B426C">
        <w:rPr>
          <w:rFonts w:ascii="Arial Nova" w:hAnsi="Arial Nova" w:cs="Segoe UI"/>
          <w:color w:val="373A3C"/>
        </w:rPr>
        <w:t> com oxigénio - terapêutica quase padrão na emergência asmática, ou a administração de antibiótico em soro – comum no tratamento hospitalar, procuram uma administração constante e prolongada, correspondendo a uma função pedestal de base extensa, quase um degrau; a toma periódica de comprimidos resulta numa função em dente de serra.</w:t>
      </w:r>
      <w:r w:rsidRPr="001B426C">
        <w:rPr>
          <w:rFonts w:ascii="Arial Nova" w:hAnsi="Arial Nova" w:cs="Segoe UI"/>
          <w:color w:val="373A3C"/>
        </w:rPr>
        <w:br/>
        <w:t>Frequentemente, o tipo de fármaco condiciona a forma (a função) de administração.</w:t>
      </w:r>
    </w:p>
    <w:p w14:paraId="36AF8F27" w14:textId="77777777" w:rsidR="001B426C" w:rsidRPr="007506B3" w:rsidRDefault="001B426C" w:rsidP="007506B3">
      <w:pPr>
        <w:tabs>
          <w:tab w:val="left" w:pos="3225"/>
        </w:tabs>
        <w:jc w:val="center"/>
        <w:rPr>
          <w:rFonts w:ascii="Arial Nova" w:hAnsi="Arial Nova"/>
          <w:sz w:val="24"/>
          <w:szCs w:val="24"/>
        </w:rPr>
      </w:pPr>
    </w:p>
    <w:sectPr w:rsidR="001B426C" w:rsidRPr="007506B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3CB1E" w14:textId="77777777" w:rsidR="00D63B8A" w:rsidRDefault="00D63B8A" w:rsidP="001F2314">
      <w:pPr>
        <w:spacing w:after="0" w:line="240" w:lineRule="auto"/>
      </w:pPr>
      <w:r>
        <w:separator/>
      </w:r>
    </w:p>
  </w:endnote>
  <w:endnote w:type="continuationSeparator" w:id="0">
    <w:p w14:paraId="408DAD06" w14:textId="77777777" w:rsidR="00D63B8A" w:rsidRDefault="00D63B8A" w:rsidP="001F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F2314" w14:paraId="36CB52AB" w14:textId="77777777">
      <w:trPr>
        <w:jc w:val="right"/>
      </w:trPr>
      <w:tc>
        <w:tcPr>
          <w:tcW w:w="4795" w:type="dxa"/>
          <w:vAlign w:val="center"/>
        </w:tcPr>
        <w:p w14:paraId="49985C84" w14:textId="4D872A94" w:rsidR="001F2314" w:rsidRDefault="001F2314">
          <w:pPr>
            <w:pStyle w:val="Cabealh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75220FF6" w14:textId="77777777" w:rsidR="001F2314" w:rsidRDefault="001F2314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48AC2B5" w14:textId="77777777" w:rsidR="001F2314" w:rsidRDefault="001F23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6381" w14:textId="77777777" w:rsidR="00D63B8A" w:rsidRDefault="00D63B8A" w:rsidP="001F2314">
      <w:pPr>
        <w:spacing w:after="0" w:line="240" w:lineRule="auto"/>
      </w:pPr>
      <w:r>
        <w:separator/>
      </w:r>
    </w:p>
  </w:footnote>
  <w:footnote w:type="continuationSeparator" w:id="0">
    <w:p w14:paraId="505E2E8E" w14:textId="77777777" w:rsidR="00D63B8A" w:rsidRDefault="00D63B8A" w:rsidP="001F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6CADB" w14:textId="117649D8" w:rsidR="001F2314" w:rsidRDefault="001F231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1FB8C4F" wp14:editId="5A4338E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BBECF" w14:textId="3BA67D9A" w:rsidR="001F2314" w:rsidRPr="001F2314" w:rsidRDefault="001F2314">
                          <w:pPr>
                            <w:spacing w:after="0" w:line="240" w:lineRule="auto"/>
                            <w:jc w:val="right"/>
                            <w:rPr>
                              <w:rFonts w:ascii="Arial Nova" w:hAnsi="Arial Nova"/>
                              <w:sz w:val="24"/>
                              <w:szCs w:val="24"/>
                            </w:rPr>
                          </w:pPr>
                          <w:r w:rsidRPr="001F2314">
                            <w:rPr>
                              <w:rFonts w:ascii="Arial Nova" w:hAnsi="Arial Nova"/>
                              <w:sz w:val="24"/>
                              <w:szCs w:val="24"/>
                            </w:rPr>
                            <w:t>Fármaco</w:t>
                          </w:r>
                          <w:r>
                            <w:rPr>
                              <w:rFonts w:ascii="Arial Nova" w:hAnsi="Arial Nova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2314">
                            <w:rPr>
                              <w:rFonts w:ascii="Arial Nova" w:hAnsi="Arial Nova"/>
                              <w:sz w:val="24"/>
                              <w:szCs w:val="24"/>
                            </w:rPr>
                            <w:t>cin</w:t>
                          </w:r>
                          <w:r>
                            <w:rPr>
                              <w:rFonts w:ascii="Arial Nova" w:hAnsi="Arial Nova"/>
                              <w:sz w:val="24"/>
                              <w:szCs w:val="24"/>
                            </w:rPr>
                            <w:t>é</w:t>
                          </w:r>
                          <w:r w:rsidRPr="001F2314">
                            <w:rPr>
                              <w:rFonts w:ascii="Arial Nova" w:hAnsi="Arial Nova"/>
                              <w:sz w:val="24"/>
                              <w:szCs w:val="24"/>
                            </w:rPr>
                            <w:t>tica Grupo 30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B8C4F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7B6BBECF" w14:textId="3BA67D9A" w:rsidR="001F2314" w:rsidRPr="001F2314" w:rsidRDefault="001F2314">
                    <w:pPr>
                      <w:spacing w:after="0" w:line="240" w:lineRule="auto"/>
                      <w:jc w:val="right"/>
                      <w:rPr>
                        <w:rFonts w:ascii="Arial Nova" w:hAnsi="Arial Nova"/>
                        <w:sz w:val="24"/>
                        <w:szCs w:val="24"/>
                      </w:rPr>
                    </w:pPr>
                    <w:r w:rsidRPr="001F2314">
                      <w:rPr>
                        <w:rFonts w:ascii="Arial Nova" w:hAnsi="Arial Nova"/>
                        <w:sz w:val="24"/>
                        <w:szCs w:val="24"/>
                      </w:rPr>
                      <w:t>Fármaco</w:t>
                    </w:r>
                    <w:r>
                      <w:rPr>
                        <w:rFonts w:ascii="Arial Nova" w:hAnsi="Arial Nova"/>
                        <w:sz w:val="24"/>
                        <w:szCs w:val="24"/>
                      </w:rPr>
                      <w:t xml:space="preserve"> </w:t>
                    </w:r>
                    <w:r w:rsidRPr="001F2314">
                      <w:rPr>
                        <w:rFonts w:ascii="Arial Nova" w:hAnsi="Arial Nova"/>
                        <w:sz w:val="24"/>
                        <w:szCs w:val="24"/>
                      </w:rPr>
                      <w:t>cin</w:t>
                    </w:r>
                    <w:r>
                      <w:rPr>
                        <w:rFonts w:ascii="Arial Nova" w:hAnsi="Arial Nova"/>
                        <w:sz w:val="24"/>
                        <w:szCs w:val="24"/>
                      </w:rPr>
                      <w:t>é</w:t>
                    </w:r>
                    <w:r w:rsidRPr="001F2314">
                      <w:rPr>
                        <w:rFonts w:ascii="Arial Nova" w:hAnsi="Arial Nova"/>
                        <w:sz w:val="24"/>
                        <w:szCs w:val="24"/>
                      </w:rPr>
                      <w:t>tica Grupo 30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4DFE69" wp14:editId="5B25D88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CA33C0" w14:textId="77777777" w:rsidR="001F2314" w:rsidRDefault="001F231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DFE69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38CA33C0" w14:textId="77777777" w:rsidR="001F2314" w:rsidRDefault="001F231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1E49"/>
    <w:multiLevelType w:val="multilevel"/>
    <w:tmpl w:val="1224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2879"/>
    <w:multiLevelType w:val="multilevel"/>
    <w:tmpl w:val="B8B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54460"/>
    <w:multiLevelType w:val="multilevel"/>
    <w:tmpl w:val="AE9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14"/>
    <w:rsid w:val="001B426C"/>
    <w:rsid w:val="001F2314"/>
    <w:rsid w:val="007506B3"/>
    <w:rsid w:val="00BD182C"/>
    <w:rsid w:val="00D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540CA"/>
  <w15:chartTrackingRefBased/>
  <w15:docId w15:val="{C19EED73-1FEA-4A0E-A951-3EAB490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1F2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0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2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2314"/>
  </w:style>
  <w:style w:type="paragraph" w:styleId="Rodap">
    <w:name w:val="footer"/>
    <w:basedOn w:val="Normal"/>
    <w:link w:val="RodapCarter"/>
    <w:uiPriority w:val="99"/>
    <w:unhideWhenUsed/>
    <w:rsid w:val="001F2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2314"/>
  </w:style>
  <w:style w:type="character" w:customStyle="1" w:styleId="Ttulo2Carter">
    <w:name w:val="Título 2 Caráter"/>
    <w:basedOn w:val="Tipodeletrapredefinidodopargrafo"/>
    <w:link w:val="Ttulo2"/>
    <w:uiPriority w:val="9"/>
    <w:rsid w:val="001F231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F2314"/>
    <w:rPr>
      <w:color w:val="0000FF"/>
      <w:u w:val="single"/>
    </w:rPr>
  </w:style>
  <w:style w:type="character" w:customStyle="1" w:styleId="header-button-title">
    <w:name w:val="header-button-title"/>
    <w:basedOn w:val="Tipodeletrapredefinidodopargrafo"/>
    <w:rsid w:val="001F2314"/>
  </w:style>
  <w:style w:type="paragraph" w:styleId="NormalWeb">
    <w:name w:val="Normal (Web)"/>
    <w:basedOn w:val="Normal"/>
    <w:uiPriority w:val="99"/>
    <w:semiHidden/>
    <w:unhideWhenUsed/>
    <w:rsid w:val="0075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0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i">
    <w:name w:val="mi"/>
    <w:basedOn w:val="Tipodeletrapredefinidodopargrafo"/>
    <w:rsid w:val="007506B3"/>
  </w:style>
  <w:style w:type="character" w:customStyle="1" w:styleId="mjxassistivemathml">
    <w:name w:val="mjx_assistive_mathml"/>
    <w:basedOn w:val="Tipodeletrapredefinidodopargrafo"/>
    <w:rsid w:val="007506B3"/>
  </w:style>
  <w:style w:type="character" w:customStyle="1" w:styleId="mo">
    <w:name w:val="mo"/>
    <w:basedOn w:val="Tipodeletrapredefinidodopargrafo"/>
    <w:rsid w:val="007506B3"/>
  </w:style>
  <w:style w:type="character" w:styleId="nfase">
    <w:name w:val="Emphasis"/>
    <w:basedOn w:val="Tipodeletrapredefinidodopargrafo"/>
    <w:uiPriority w:val="20"/>
    <w:qFormat/>
    <w:rsid w:val="00750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%702%301%390%38%304%34@%66e%2e%75p.%70%74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%75p2019%30%36%3617@f%65.%75p.p%7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639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</dc:creator>
  <cp:keywords/>
  <dc:description/>
  <cp:lastModifiedBy>Tiago R</cp:lastModifiedBy>
  <cp:revision>1</cp:revision>
  <dcterms:created xsi:type="dcterms:W3CDTF">2020-12-07T14:20:00Z</dcterms:created>
  <dcterms:modified xsi:type="dcterms:W3CDTF">2020-12-07T14:45:00Z</dcterms:modified>
</cp:coreProperties>
</file>