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133.8582677165355" w:firstLine="0"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6.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Blockchain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133.8582677165355" w:firstLine="0"/>
        <w:contextualSpacing w:val="0"/>
        <w:rPr>
          <w:rFonts w:ascii="Roboto" w:cs="Roboto" w:eastAsia="Roboto" w:hAnsi="Roboto"/>
          <w:b w:val="1"/>
          <w:shd w:fill="f5f5f5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5f5f5" w:val="clear"/>
          <w:rtl w:val="0"/>
        </w:rPr>
        <w:t xml:space="preserve">          Benefícios e Aplicações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-566.9291338582677" w:hanging="719.9999999999999"/>
        <w:contextualSpacing w:val="0"/>
        <w:jc w:val="both"/>
        <w:rPr>
          <w:rFonts w:ascii="Roboto" w:cs="Roboto" w:eastAsia="Roboto" w:hAnsi="Roboto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5f5f5" w:val="clear"/>
          <w:rtl w:val="0"/>
        </w:rPr>
        <w:t xml:space="preserve">           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-566.9291338582677" w:hanging="719.9999999999999"/>
        <w:contextualSpacing w:val="0"/>
        <w:jc w:val="both"/>
        <w:rPr>
          <w:rFonts w:ascii="Roboto" w:cs="Roboto" w:eastAsia="Roboto" w:hAnsi="Roboto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5f5f5" w:val="clear"/>
          <w:rtl w:val="0"/>
        </w:rPr>
        <w:t xml:space="preserve">          A blockchain surgiu em 2008, durante uma das maiores crises financeiras mundiais, para realizar transações     monetárias com Bitcoin. O seu intuito inicial era retirar o intermediário de transações onde era necessário os intermediários confiarem uns nos outros, ou em terceiros para mediar transações e garantir que os valores são efetivamente transferidos (Ferreira, 2017). Um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shd w:fill="f5f5f5" w:val="clear"/>
          <w:rtl w:val="0"/>
        </w:rPr>
        <w:t xml:space="preserve">distributed ledger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5f5f5" w:val="clear"/>
          <w:rtl w:val="0"/>
        </w:rPr>
        <w:t xml:space="preserve"> permite evitar a centralização e criar um P2P global seguro (Cavalcante, 2017). Desta forma, o seu uso difundiu-se para diversos outros setores.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-566.9291338582677" w:hanging="719.9999999999999"/>
        <w:contextualSpacing w:val="0"/>
        <w:jc w:val="both"/>
        <w:rPr>
          <w:rFonts w:ascii="Roboto" w:cs="Roboto" w:eastAsia="Roboto" w:hAnsi="Roboto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5f5f5" w:val="clear"/>
          <w:rtl w:val="0"/>
        </w:rPr>
        <w:t xml:space="preserve">              Os benefícios são :</w:t>
      </w: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3900"/>
        <w:tblGridChange w:id="0">
          <w:tblGrid>
            <w:gridCol w:w="4815"/>
            <w:gridCol w:w="3900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 Benefício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Descrição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Transações seguras, rápidas e sem intermediário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Reduz/elimina o risco da desconfiança entre as partes e custos de transação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Utilizadores com poderes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Os utilizadores controlam todas as suas transações e informações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Dados de alta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Os dados da blockchain são intrinsecamente completos, consistente, precisos e amplamente disponíveis no momento que forem necessários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Segura e amplamente disponível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Ausência de ponto único de falha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Processos íntegros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Tudo é executado conforme o protocolo, sem intermediários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Transparência e imutabilidade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Todas as transações estão disponíveis publicamente e não podem ser alteradas ou apagadas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Simplificação do registo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shd w:fill="f5f5f5" w:val="clear"/>
                <w:rtl w:val="0"/>
              </w:rPr>
              <w:t xml:space="preserve">Um único livro de registo (blockchain) é criado, reduzindo a desordem e complicações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  <w:rtl w:val="0"/>
        </w:rPr>
        <w:t xml:space="preserve">fonte: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https://www.cpqd.com.br/wp-content/uploads/2017/11/Whitepaper_Blockchain_e_IoT_-_aplicac%CC%A7o%CC%83es_e_iniciativas_v2.pdf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  <w:rtl w:val="0"/>
        </w:rPr>
        <w:t xml:space="preserve">   6.1 Moeda soberana em formato digital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Com a expansão dos meios eletrónicos, diversos bancos centrais (Canadá, Inglaterra e Singapura ) estão a estudar a possibilidade da emissão de uma moeda soberana em suporte virtual, com vantagens como: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Redução do custo de transações financeiras  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Monitorização em tempo Real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Maior eficiência de pagamentos e proteção do consumidor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Descentralização de sistemas de pagamento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Democratização e integração social de sistemas financeiros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( Burgos,Batavia,  2018 )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Moedas virtuais particulares, como a bitcoin, possuem valor monetário não controlado. As criptomoedas privadas, “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highlight w:val="white"/>
          <w:rtl w:val="0"/>
        </w:rPr>
        <w:t xml:space="preserve">não são emitidas, garantidas ou reguladas por Banco Central. Possuem forma, denominação e valor próprios”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( BCB-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  <w:rtl w:val="0"/>
        </w:rPr>
        <w:t xml:space="preserve">Moedas Virtuais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, 2017 ).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highlight w:val="white"/>
          <w:rtl w:val="0"/>
        </w:rPr>
        <w:t xml:space="preserve"> Ou seja, não são moedas oficiais. Ao contrário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do modelo aqui retratado, trata-se de um dinheiro digital emitido pelo banco central, ao qual é concedido o estatuto de moeda oficial, tal como o Euro ou outras moedas soberanas.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Com a sua oficialização, a população teria amplo acesso às moedas “tokenizadas”, baseado em tokens e no mecanismo de transferência P2P, sem juros, com a privacidade de saldo e transações garantida pelo sigilo bancário tal como nos bancos de hoje, e com custos muito mais baixos. (Cavalcante, 2017)</w:t>
      </w:r>
    </w:p>
    <w:p w:rsidR="00000000" w:rsidDel="00000000" w:rsidP="00000000" w:rsidRDefault="00000000" w:rsidRPr="00000000" w14:paraId="00000025">
      <w:pPr>
        <w:spacing w:line="276" w:lineRule="auto"/>
        <w:ind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A escolha da instituição responsável pelo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shd w:fill="f5f5f5" w:val="clear"/>
          <w:rtl w:val="0"/>
        </w:rPr>
        <w:t xml:space="preserve">mining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 de novas moedas seria uma decisão política (Cavalcante, 2017), que permitiria um melhor controlo da inflação/deflação num mercado dominado por essa moeda, ao contrário do que ocorre com a maior parte das criptomoedas privadas.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-Este projeto teria foco na venda a retalho.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Atualmente já há manipulações digitais de valores monetários. No entanto, os principais meios de pagamento na venda a retalho continuam a ser notas e moedas físicas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, cujo ciclo de vida curto implica grandes despesas aos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cofres públicos. De acordo com Cavalcante (2017), cerca de 30% das moedas metálicas ficam fora de circulação.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Os cartões bancários possuem operações com um custo mais alto, uma vez que exigem o controlo de cobranças, que é feito por um mediador, o emissor do cartão. De qualquer forma, se não se tratasse de uma criptomoeda seria mesmo assim necessário um mediador, o que implica custos adicionais nas transações (Martins, 2018).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  <w:rtl w:val="0"/>
        </w:rPr>
        <w:t xml:space="preserve">6.2Autenticação de documentos com blockchain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Um cartório serve como mediador para autenticar testemunhos, sejam, casamentos, contratos de compra venda ou acordos judiciais.A credibilidade desse documento se dá pelo poder governamental dado para o estabelecimento que propõe um valor proferido pelo mesmo  para conferir  autenticidade ao registro.Porém esse processo é corruptível dado que se baseia  na confiabilidade de indivíduos.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(Martins,  2018)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Com transações feitas for blockchain , cada registro é armazenado em uma ‘página’ de um livro razão,onde quando autorizada o registro por ambas as partes, sendo duas ou mais ao mesmo tempo, do documento adulterá-lo passado um tempo se torna quase impossível.(Martins,  2018)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Com propósito de modificar uma ‘linha’ do livro ,o terceiro deve agir em  toda a página e as anteriores. Ou seja para pôr em prova a veracidade  de somente uma transação, feita por exemplo 5 anos atrás, será necessário alterar todas as ‘páginas’ dos passados 5 anos demandando de um poder de processamento computacional exorbitante, tornado a credibilidade dos arquivos praticamente  imutável.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 .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Em um sistema de autenticação por blockchain  todas as transações são registradas no DTL ( Distributed Ledger Technology ),onde não estão sujeitas ao risco de deterioração (danos físicos) como em documentos de papel. Também podem ser consultadas a qualquer momento.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Nesse sistema não se faz  necessário um mediador confiável,  conjuntamente reduzindo o valor de escrituração.(Martins, 2018 )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  <w:rtl w:val="0"/>
        </w:rPr>
        <w:t xml:space="preserve"> 6.3 SMART CONTRACTS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i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O bitcoin foi o primeiro a suportar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shd w:fill="f5f5f5" w:val="clear"/>
          <w:rtl w:val="0"/>
        </w:rPr>
        <w:t xml:space="preserve">smart contracts básicos no âmbito de que a rede pode transferir um montante de uma pessoa para outra. A rede de nós só validará transações que determinadas condições foram atendidas 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i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shd w:fill="f5f5f5" w:val="clear"/>
          <w:rtl w:val="0"/>
        </w:rPr>
        <w:t xml:space="preserve">O ethereum, considerada a segunda geração de blockchain, não possui linguagem restritiva e limitada somente a moeda. Com linguagem mais flexível e extensível permite aos desenvolvedores redigir seus próprios programas.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i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shd w:fill="f5f5f5" w:val="clear"/>
          <w:rtl w:val="0"/>
        </w:rPr>
        <w:t xml:space="preserve">(Hertig, 20--- 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São inúmeros os motivos que fazem um SMART CONTRACT superior a um contrato comum. Há um ganho em eficiência notável, os diversos resultados e implicações podem ser calculados  instantaneamente, sem a necessidade de advogados, cartórios e transferências bancárias .(Ferreira, 2017).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O benefício valoroso da Blockchain é que, sem  a necessidade de uma entidade central com o papel de conciliadora, duas partes que apesar, de não se conhecerem e confiarem uma nas outras , possibilita  a troca de informações . Vantagem desejável uma vez que pode haver deslealdade do árbitro, favorecendo uma das partes, na transação aqui proposta não é possível corromper o mediador a seu favor, em razão de que prevalece o consenso da maior parte. ( Ferreira, 2017)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Contratos feitos por ethereum vem a ser uma solução para a compilação presente na realização de contratos entre dua pessoas, diminuindo a burocracia e simplificando etapas.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  <w:rtl w:val="0"/>
        </w:rPr>
        <w:t xml:space="preserve">Conclusão 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Verdana" w:cs="Verdana" w:eastAsia="Verdana" w:hAnsi="Verdana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Partindo do conhecimento das aplicações da Blockchain percebe-se que em breve, a documentação  de um imóvel , diploma escolar, acreditação bancária ou até registro de compra de agrotóxicos por uma fazenda orgânica, poderá ser  consultada por  uma Blockchain que possuirá todas essas informações históricas ,sem a necessidade de uma entidade intermediadora. Tornado as ações de todos mais transparentes.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shd w:fill="f5f5f5" w:val="clear"/>
          <w:rtl w:val="0"/>
        </w:rPr>
        <w:t xml:space="preserve">fontes      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aldeinio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https://www.bcb.gov.br/htms/public/inovtec/O-Meio-Circulante-na-Era-Digital.pdf?4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https://www.forbes.com/sites/laurashin/2017/02/07/the-first-government-to-secure-land-titles-on-the-bitcoin-blockchain-expands-project/#70b3f1de4dcd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https://www.lume.ufrgs.br/handle/10183/177585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http://www.comp.ime.eb.br/graduacao/pfc/repositorio-pfc/2017/PFC%20-%20Athos.pdf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firstLine="0"/>
        <w:contextualSpacing w:val="0"/>
        <w:jc w:val="both"/>
        <w:rPr>
          <w:rFonts w:ascii="Roboto" w:cs="Roboto" w:eastAsia="Roboto" w:hAnsi="Roboto"/>
          <w:color w:val="665ed0"/>
          <w:sz w:val="20"/>
          <w:szCs w:val="20"/>
          <w:u w:val="single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"Deep Shift Technology Tipping Points and Societal Impact" -chapters 16,17,18.</w:t>
      </w:r>
      <w:r w:rsidDel="00000000" w:rsidR="00000000" w:rsidRPr="00000000">
        <w:fldChar w:fldCharType="begin"/>
        <w:instrText xml:space="preserve"> HYPERLINK "http://bit.ly/2v8vXum"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5ed0"/>
          <w:sz w:val="20"/>
          <w:szCs w:val="20"/>
          <w:u w:val="single"/>
          <w:shd w:fill="f5f5f5" w:val="clear"/>
          <w:rtl w:val="0"/>
        </w:rPr>
        <w:t xml:space="preserve"> http://bit.ly/2v8vXum</w:t>
      </w:r>
    </w:p>
    <w:p w:rsidR="00000000" w:rsidDel="00000000" w:rsidP="00000000" w:rsidRDefault="00000000" w:rsidRPr="00000000" w14:paraId="0000005F">
      <w:pPr>
        <w:spacing w:line="276" w:lineRule="auto"/>
        <w:ind w:firstLine="0"/>
        <w:contextualSpacing w:val="0"/>
        <w:jc w:val="both"/>
        <w:rPr>
          <w:color w:val="665ed0"/>
          <w:sz w:val="30"/>
          <w:szCs w:val="30"/>
          <w:u w:val="single"/>
          <w:shd w:fill="f5f5f5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"http://bit.ly/2v8vXum"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https://www.lume.ufrgs.br/handle/10183/177585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BC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https://www.bcb.gov.br/pre/bc_atende/port/moedasvirtuais.asp?idpai=FAQCIDADAO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i w:val="1"/>
          <w:color w:val="353536"/>
          <w:sz w:val="26"/>
          <w:szCs w:val="26"/>
          <w:highlight w:val="white"/>
          <w:rtl w:val="0"/>
        </w:rPr>
        <w:t xml:space="preserve">Hertig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https://www.coindesk.com/information/ethereum-smart-contracts-work/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shd w:fill="f5f5f5" w:val="clear"/>
          <w:rtl w:val="0"/>
        </w:rPr>
        <w:t xml:space="preserve"> Ferreira 2017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https://linux.ime.usp.br/~fredlage/mac0499/Monografia.pdf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both"/>
        <w:rPr>
          <w:rFonts w:ascii="Roboto" w:cs="Roboto" w:eastAsia="Roboto" w:hAnsi="Roboto"/>
          <w:color w:val="43434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line="276" w:lineRule="auto"/>
      <w:ind w:firstLine="0"/>
      <w:contextualSpacing w:val="0"/>
      <w:jc w:val="both"/>
      <w:rPr>
        <w:rFonts w:ascii="Roboto" w:cs="Roboto" w:eastAsia="Roboto" w:hAnsi="Roboto"/>
        <w:color w:val="434343"/>
        <w:sz w:val="20"/>
        <w:szCs w:val="20"/>
        <w:shd w:fill="f5f5f5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spacing w:line="276" w:lineRule="auto"/>
      <w:ind w:firstLine="0"/>
      <w:contextualSpacing w:val="0"/>
      <w:jc w:val="both"/>
      <w:rPr>
        <w:rFonts w:ascii="Roboto" w:cs="Roboto" w:eastAsia="Roboto" w:hAnsi="Roboto"/>
        <w:color w:val="434343"/>
        <w:sz w:val="20"/>
        <w:szCs w:val="20"/>
        <w:shd w:fill="f5f5f5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spacing w:line="276" w:lineRule="auto"/>
      <w:ind w:firstLine="0"/>
      <w:contextualSpacing w:val="0"/>
      <w:jc w:val="both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PT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cpqd.com.br/wp-content/uploads/2017/11/Whitepaper_Blockchain_e_IoT_-_aplicac%CC%A7o%CC%83es_e_iniciativas_v2.pdf" TargetMode="External"/><Relationship Id="rId7" Type="http://schemas.openxmlformats.org/officeDocument/2006/relationships/hyperlink" Target="https://www.lume.ufrgs.br/handle/10183/177585" TargetMode="External"/><Relationship Id="rId8" Type="http://schemas.openxmlformats.org/officeDocument/2006/relationships/hyperlink" Target="https://linux.ime.usp.br/~fredlage/mac0499/Monografia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