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EFF6FF"/>
            <w:tcMar>
              <w:top w:w="200" w:type="dxa"/>
              <w:bottom w:w="200" w:type="dxa"/>
              <w:left w:w="240" w:type="dxa"/>
              <w:right w:w="240" w:type="dxa"/>
            </w:tcMar>
            <w:tcBorders>
              <w:left w:val="single" w:sz="36" w:space="0" w:color="2563EB"/>
              <w:top w:val="single" w:sz="12" w:space="0" w:color="BFDBFE"/>
              <w:right w:val="single" w:sz="12" w:space="0" w:color="BFDBFE"/>
              <w:bottom w:val="single" w:sz="12" w:space="0" w:color="BFDBFE"/>
            </w:tcBorders>
          </w:tcPr>
          <w:p>
            <w:pPr>
              <w:spacing w:after="80"/>
            </w:pPr>
            <w:r>
              <w:rPr>
                <w:rFonts w:ascii="Segoe UI" w:hAnsi="Segoe UI"/>
                <w:b/>
                <w:i w:val="0"/>
                <w:color w:val="1E40AF"/>
                <w:sz w:val="48"/>
              </w:rPr>
              <w:t>KoboWise Platform Documentation</w:t>
            </w:r>
          </w:p>
          <w:p>
            <w:pPr>
              <w:spacing w:after="240"/>
            </w:pPr>
            <w:r>
              <w:rPr>
                <w:rFonts w:ascii="Segoe UI" w:hAnsi="Segoe UI"/>
                <w:b/>
                <w:i w:val="0"/>
                <w:color w:val="2563EB"/>
                <w:sz w:val="26"/>
              </w:rPr>
              <w:t>A Hybrid-Synced Bulk Group Buying &amp; Wholesale Distribution System for Campus Communities</w:t>
            </w:r>
          </w:p>
          <w:p>
            <w:pPr>
              <w:spacing w:after="0"/>
            </w:pPr>
            <w:r>
              <w:rPr>
                <w:rFonts w:ascii="Segoe UI" w:hAnsi="Segoe UI"/>
                <w:b w:val="0"/>
                <w:i/>
                <w:color w:val="64748B"/>
                <w:sz w:val="19"/>
              </w:rPr>
              <w:t>Case Study: Delta State University (DELSU), Abraka  |  July 2026</w:t>
              <w:br/>
              <w:t>Repository: Snavetech/Kobowise  |  Live Deployment: kobowise-three.vercel.app</w:t>
            </w:r>
          </w:p>
        </w:tc>
      </w:tr>
    </w:tbl>
    <w:p>
      <w:pPr>
        <w:spacing w:after="120"/>
      </w:pP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Borders>
              <w:left w:val="single" w:sz="24" w:space="0" w:color="1E40AF"/>
              <w:top w:val="single" w:sz="4" w:space="0" w:color="BFDBFE"/>
              <w:right w:val="single" w:sz="4" w:space="0" w:color="BFDBFE"/>
              <w:bottom w:val="single" w:sz="4" w:space="0" w:color="BFDBFE"/>
            </w:tcBorders>
          </w:tcPr>
          <w:p>
            <w:pPr>
              <w:spacing w:before="0" w:after="40"/>
            </w:pPr>
            <w:r>
              <w:rPr>
                <w:rFonts w:ascii="Segoe UI" w:hAnsi="Segoe UI"/>
                <w:b/>
                <w:i w:val="0"/>
                <w:color w:val="1E40AF"/>
                <w:sz w:val="22"/>
              </w:rPr>
              <w:t>📌 Executive Summary</w:t>
              <w:br/>
            </w:r>
            <w:r>
              <w:rPr>
                <w:rFonts w:ascii="Segoe UI" w:hAnsi="Segoe UI"/>
                <w:b w:val="0"/>
                <w:i/>
                <w:color w:val="1E3A8A"/>
                <w:sz w:val="20"/>
              </w:rPr>
              <w:t>KoboWise is a specialized collaborative e-commerce platform designed to mitigate student inflation and cost-of-living challenges across university campuses. By enabling students to split high-volume bulk items into fractional shares and connecting them directly with local wholesale traders, KoboWise achieves an average 34.8% reduction in essential food and grocery expenses.</w:t>
            </w:r>
          </w:p>
        </w:tc>
      </w:tr>
    </w:tbl>
    <w:p>
      <w:pPr>
        <w:keepNext/>
        <w:spacing w:before="360" w:after="120"/>
      </w:pPr>
      <w:r>
        <w:rPr>
          <w:rFonts w:ascii="Segoe UI" w:hAnsi="Segoe UI"/>
          <w:b/>
          <w:i w:val="0"/>
          <w:color w:val="1E40AF"/>
          <w:sz w:val="36"/>
        </w:rPr>
        <w:t>1. Development Environment &amp; Tools</w:t>
      </w:r>
    </w:p>
    <w:p>
      <w:pPr>
        <w:keepNext/>
        <w:spacing w:before="280" w:after="80"/>
      </w:pPr>
      <w:r>
        <w:rPr>
          <w:rFonts w:ascii="Segoe UI" w:hAnsi="Segoe UI"/>
          <w:b/>
          <w:i w:val="0"/>
          <w:color w:val="1E3A8A"/>
          <w:sz w:val="28"/>
        </w:rPr>
        <w:t>1.1 Core Software &amp; Hardware Infrastructure</w:t>
      </w:r>
    </w:p>
    <w:p>
      <w:pPr>
        <w:spacing w:before="40" w:after="120" w:line="276" w:lineRule="auto"/>
      </w:pPr>
      <w:r>
        <w:rPr>
          <w:rFonts w:ascii="Segoe UI" w:hAnsi="Segoe UI"/>
          <w:b w:val="0"/>
          <w:i w:val="0"/>
          <w:color w:val="334155"/>
          <w:sz w:val="21"/>
        </w:rPr>
        <w:t>The KoboWise platform was developed, built, and tested within a modern full-stack web engine configured for maximum execution efficiency, cross-browser compatibility, and seamless cloud deployment.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160"/>
            <w:shd w:fill="1E40AF"/>
            <w:tcMar>
              <w:top w:w="120" w:type="dxa"/>
              <w:bottom w:w="120" w:type="dxa"/>
              <w:left w:w="120" w:type="dxa"/>
              <w:right w:w="120" w:type="dxa"/>
            </w:tcMar>
          </w:tcPr>
          <w:p>
            <w:pPr>
              <w:spacing w:before="40" w:after="40"/>
              <w:jc w:val="left"/>
            </w:pPr>
            <w:r>
              <w:rPr>
                <w:rFonts w:ascii="Segoe UI" w:hAnsi="Segoe UI"/>
                <w:b/>
                <w:i w:val="0"/>
                <w:color w:val="FFFFFF"/>
                <w:sz w:val="19"/>
              </w:rPr>
              <w:t>Infrastructure Layer</w:t>
            </w:r>
          </w:p>
        </w:tc>
        <w:tc>
          <w:tcPr>
            <w:tcW w:type="dxa" w:w="2304"/>
            <w:shd w:fill="1E40AF"/>
            <w:tcMar>
              <w:top w:w="120" w:type="dxa"/>
              <w:bottom w:w="120" w:type="dxa"/>
              <w:left w:w="120" w:type="dxa"/>
              <w:right w:w="120" w:type="dxa"/>
            </w:tcMar>
          </w:tcPr>
          <w:p>
            <w:pPr>
              <w:spacing w:before="40" w:after="40"/>
              <w:jc w:val="left"/>
            </w:pPr>
            <w:r>
              <w:rPr>
                <w:rFonts w:ascii="Segoe UI" w:hAnsi="Segoe UI"/>
                <w:b/>
                <w:i w:val="0"/>
                <w:color w:val="FFFFFF"/>
                <w:sz w:val="19"/>
              </w:rPr>
              <w:t>Technology / Tooling</w:t>
            </w:r>
          </w:p>
        </w:tc>
        <w:tc>
          <w:tcPr>
            <w:tcW w:type="dxa" w:w="2016"/>
            <w:shd w:fill="1E40AF"/>
            <w:tcMar>
              <w:top w:w="120" w:type="dxa"/>
              <w:bottom w:w="120" w:type="dxa"/>
              <w:left w:w="120" w:type="dxa"/>
              <w:right w:w="120" w:type="dxa"/>
            </w:tcMar>
          </w:tcPr>
          <w:p>
            <w:pPr>
              <w:spacing w:before="40" w:after="40"/>
              <w:jc w:val="left"/>
            </w:pPr>
            <w:r>
              <w:rPr>
                <w:rFonts w:ascii="Segoe UI" w:hAnsi="Segoe UI"/>
                <w:b/>
                <w:i w:val="0"/>
                <w:color w:val="FFFFFF"/>
                <w:sz w:val="19"/>
              </w:rPr>
              <w:t>Version / Specification</w:t>
            </w:r>
          </w:p>
        </w:tc>
        <w:tc>
          <w:tcPr>
            <w:tcW w:type="dxa" w:w="2880"/>
            <w:shd w:fill="1E40AF"/>
            <w:tcMar>
              <w:top w:w="120" w:type="dxa"/>
              <w:bottom w:w="120" w:type="dxa"/>
              <w:left w:w="120" w:type="dxa"/>
              <w:right w:w="120" w:type="dxa"/>
            </w:tcMar>
          </w:tcPr>
          <w:p>
            <w:pPr>
              <w:spacing w:before="40" w:after="40"/>
              <w:jc w:val="left"/>
            </w:pPr>
            <w:r>
              <w:rPr>
                <w:rFonts w:ascii="Segoe UI" w:hAnsi="Segoe UI"/>
                <w:b/>
                <w:i w:val="0"/>
                <w:color w:val="FFFFFF"/>
                <w:sz w:val="19"/>
              </w:rPr>
              <w:t>Primary Role &amp; Function</w:t>
            </w:r>
          </w:p>
        </w:tc>
      </w:tr>
      <w:tr>
        <w:tc>
          <w:tcPr>
            <w:tcW w:type="dxa" w:w="2160"/>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Operating System</w:t>
            </w:r>
          </w:p>
        </w:tc>
        <w:tc>
          <w:tcPr>
            <w:tcW w:type="dxa" w:w="2304"/>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Microsoft Windows 11</w:t>
            </w:r>
          </w:p>
        </w:tc>
        <w:tc>
          <w:tcPr>
            <w:tcW w:type="dxa" w:w="2016"/>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x64 Architecture</w:t>
            </w:r>
          </w:p>
        </w:tc>
        <w:tc>
          <w:tcPr>
            <w:tcW w:type="dxa" w:w="2880"/>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Local development, runtime host, &amp; test sandbox.</w:t>
            </w:r>
          </w:p>
        </w:tc>
      </w:tr>
      <w:tr>
        <w:tc>
          <w:tcPr>
            <w:tcW w:type="dxa" w:w="2160"/>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Primary IDE</w:t>
            </w:r>
          </w:p>
        </w:tc>
        <w:tc>
          <w:tcPr>
            <w:tcW w:type="dxa" w:w="2304"/>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Antigravity IDE / VS Code</w:t>
            </w:r>
          </w:p>
        </w:tc>
        <w:tc>
          <w:tcPr>
            <w:tcW w:type="dxa" w:w="2016"/>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v1.92+ with TS extensions</w:t>
            </w:r>
          </w:p>
        </w:tc>
        <w:tc>
          <w:tcPr>
            <w:tcW w:type="dxa" w:w="2880"/>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Code editing, AI pair programming, &amp; workspace diagnostics.</w:t>
            </w:r>
          </w:p>
        </w:tc>
      </w:tr>
      <w:tr>
        <w:tc>
          <w:tcPr>
            <w:tcW w:type="dxa" w:w="2160"/>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Runtime Environment</w:t>
            </w:r>
          </w:p>
        </w:tc>
        <w:tc>
          <w:tcPr>
            <w:tcW w:type="dxa" w:w="2304"/>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Node.js Engine</w:t>
            </w:r>
          </w:p>
        </w:tc>
        <w:tc>
          <w:tcPr>
            <w:tcW w:type="dxa" w:w="2016"/>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v20.x (LTS)</w:t>
            </w:r>
          </w:p>
        </w:tc>
        <w:tc>
          <w:tcPr>
            <w:tcW w:type="dxa" w:w="2880"/>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JavaScript/TypeScript execution environment &amp; package manager.</w:t>
            </w:r>
          </w:p>
        </w:tc>
      </w:tr>
      <w:tr>
        <w:tc>
          <w:tcPr>
            <w:tcW w:type="dxa" w:w="2160"/>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Build Tooling</w:t>
            </w:r>
          </w:p>
        </w:tc>
        <w:tc>
          <w:tcPr>
            <w:tcW w:type="dxa" w:w="2304"/>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Vite &amp; SWC Compiler</w:t>
            </w:r>
          </w:p>
        </w:tc>
        <w:tc>
          <w:tcPr>
            <w:tcW w:type="dxa" w:w="2016"/>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v8.1.0 (Fast HMR)</w:t>
            </w:r>
          </w:p>
        </w:tc>
        <w:tc>
          <w:tcPr>
            <w:tcW w:type="dxa" w:w="2880"/>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Lightning-fast module bundling, compilation, &amp; dev server.</w:t>
            </w:r>
          </w:p>
        </w:tc>
      </w:tr>
      <w:tr>
        <w:tc>
          <w:tcPr>
            <w:tcW w:type="dxa" w:w="2160"/>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Frontend Core</w:t>
            </w:r>
          </w:p>
        </w:tc>
        <w:tc>
          <w:tcPr>
            <w:tcW w:type="dxa" w:w="2304"/>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React Framework</w:t>
            </w:r>
          </w:p>
        </w:tc>
        <w:tc>
          <w:tcPr>
            <w:tcW w:type="dxa" w:w="2016"/>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v18.3.1 (Concurrent Rendering)</w:t>
            </w:r>
          </w:p>
        </w:tc>
        <w:tc>
          <w:tcPr>
            <w:tcW w:type="dxa" w:w="2880"/>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Component-driven single page application (SPA) UI framework.</w:t>
            </w:r>
          </w:p>
        </w:tc>
      </w:tr>
      <w:tr>
        <w:tc>
          <w:tcPr>
            <w:tcW w:type="dxa" w:w="2160"/>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Type Safety</w:t>
            </w:r>
          </w:p>
        </w:tc>
        <w:tc>
          <w:tcPr>
            <w:tcW w:type="dxa" w:w="2304"/>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TypeScript</w:t>
            </w:r>
          </w:p>
        </w:tc>
        <w:tc>
          <w:tcPr>
            <w:tcW w:type="dxa" w:w="2016"/>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v5.5.0 Strict Mode</w:t>
            </w:r>
          </w:p>
        </w:tc>
        <w:tc>
          <w:tcPr>
            <w:tcW w:type="dxa" w:w="2880"/>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Static type definitions, interface contracts, &amp; compile checks.</w:t>
            </w:r>
          </w:p>
        </w:tc>
      </w:tr>
      <w:tr>
        <w:tc>
          <w:tcPr>
            <w:tcW w:type="dxa" w:w="2160"/>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Routing Engine</w:t>
            </w:r>
          </w:p>
        </w:tc>
        <w:tc>
          <w:tcPr>
            <w:tcW w:type="dxa" w:w="2304"/>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React Router DOM</w:t>
            </w:r>
          </w:p>
        </w:tc>
        <w:tc>
          <w:tcPr>
            <w:tcW w:type="dxa" w:w="2016"/>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v6.22 (HashRouter)</w:t>
            </w:r>
          </w:p>
        </w:tc>
        <w:tc>
          <w:tcPr>
            <w:tcW w:type="dxa" w:w="2880"/>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Client-side SPA route navigation &amp; URL hash state sync.</w:t>
            </w:r>
          </w:p>
        </w:tc>
      </w:tr>
      <w:tr>
        <w:tc>
          <w:tcPr>
            <w:tcW w:type="dxa" w:w="2160"/>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Cloud Backend</w:t>
            </w:r>
          </w:p>
        </w:tc>
        <w:tc>
          <w:tcPr>
            <w:tcW w:type="dxa" w:w="2304"/>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Supabase PostgreSQL</w:t>
            </w:r>
          </w:p>
        </w:tc>
        <w:tc>
          <w:tcPr>
            <w:tcW w:type="dxa" w:w="2016"/>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Cloud BaaS + RLS</w:t>
            </w:r>
          </w:p>
        </w:tc>
        <w:tc>
          <w:tcPr>
            <w:tcW w:type="dxa" w:w="2880"/>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Relational database, user authentication, &amp; security rules.</w:t>
            </w:r>
          </w:p>
        </w:tc>
      </w:tr>
      <w:tr>
        <w:tc>
          <w:tcPr>
            <w:tcW w:type="dxa" w:w="2160"/>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Hosting &amp; Pipeline</w:t>
            </w:r>
          </w:p>
        </w:tc>
        <w:tc>
          <w:tcPr>
            <w:tcW w:type="dxa" w:w="2304"/>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Vercel Edge Network</w:t>
            </w:r>
          </w:p>
        </w:tc>
        <w:tc>
          <w:tcPr>
            <w:tcW w:type="dxa" w:w="2016"/>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Serverless CDN Pipeline</w:t>
            </w:r>
          </w:p>
        </w:tc>
        <w:tc>
          <w:tcPr>
            <w:tcW w:type="dxa" w:w="2880"/>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Global continuous integration &amp; automated Git deployment.</w:t>
            </w:r>
          </w:p>
        </w:tc>
      </w:tr>
    </w:tbl>
    <w:p>
      <w:pPr>
        <w:keepNext/>
        <w:spacing w:before="280" w:after="80"/>
      </w:pPr>
      <w:r>
        <w:rPr>
          <w:rFonts w:ascii="Segoe UI" w:hAnsi="Segoe UI"/>
          <w:b/>
          <w:i w:val="0"/>
          <w:color w:val="1E3A8A"/>
          <w:sz w:val="28"/>
        </w:rPr>
        <w:t>1.2 Modern Design System &amp; Styling Token Architecture</w:t>
      </w:r>
    </w:p>
    <w:p>
      <w:pPr>
        <w:spacing w:before="40" w:after="120" w:line="276" w:lineRule="auto"/>
      </w:pPr>
      <w:r>
        <w:rPr>
          <w:rFonts w:ascii="Segoe UI" w:hAnsi="Segoe UI"/>
          <w:b w:val="0"/>
          <w:i w:val="0"/>
          <w:color w:val="334155"/>
          <w:sz w:val="21"/>
        </w:rPr>
        <w:t>To deliver a state-of-the-art, visually captivating user experience, KoboWise utilizes a custom Vanilla CSS Design Engine powered by HSL CSS Custom Properties (Design Tokens), glassmorphism subtle translucent overlays, and dynamic micro-animations:</w:t>
      </w:r>
    </w:p>
    <w:p>
      <w:pPr>
        <w:spacing w:before="40" w:after="120" w:line="276" w:lineRule="auto"/>
      </w:pPr>
      <w:r>
        <w:rPr>
          <w:rFonts w:ascii="Segoe UI" w:hAnsi="Segoe UI"/>
          <w:b/>
          <w:i w:val="0"/>
          <w:color w:val="0F172A"/>
          <w:sz w:val="21"/>
        </w:rPr>
        <w:t xml:space="preserve">• Color Palette: </w:t>
      </w:r>
      <w:r>
        <w:rPr>
          <w:rFonts w:ascii="Segoe UI" w:hAnsi="Segoe UI"/>
          <w:b w:val="0"/>
          <w:i w:val="0"/>
          <w:color w:val="334155"/>
          <w:sz w:val="21"/>
        </w:rPr>
        <w:t>Curated high-contrast HSL color system featuring Primary Royal Blue (hsl(221, 83%, 53%)), Emerald Green Savings Badges (hsl(142, 71%, 45%)), Warm Amber Hot Deal Highlights, and Sleek Dark Slate Text.</w:t>
      </w:r>
    </w:p>
    <w:p>
      <w:pPr>
        <w:spacing w:before="40" w:after="120" w:line="276" w:lineRule="auto"/>
      </w:pPr>
      <w:r>
        <w:rPr>
          <w:rFonts w:ascii="Segoe UI" w:hAnsi="Segoe UI"/>
          <w:b/>
          <w:i w:val="0"/>
          <w:color w:val="0F172A"/>
          <w:sz w:val="21"/>
        </w:rPr>
        <w:t xml:space="preserve">• Typography: </w:t>
      </w:r>
      <w:r>
        <w:rPr>
          <w:rFonts w:ascii="Segoe UI" w:hAnsi="Segoe UI"/>
          <w:b w:val="0"/>
          <w:i w:val="0"/>
          <w:color w:val="334155"/>
          <w:sz w:val="21"/>
        </w:rPr>
        <w:t>Integrated Google Fonts family 'Outfit' and 'Inter' with tailored letter-spacing and hierarchy for mobile and desktop screens.</w:t>
      </w:r>
    </w:p>
    <w:p>
      <w:pPr>
        <w:spacing w:before="40" w:after="120" w:line="276" w:lineRule="auto"/>
      </w:pPr>
      <w:r>
        <w:rPr>
          <w:rFonts w:ascii="Segoe UI" w:hAnsi="Segoe UI"/>
          <w:b/>
          <w:i w:val="0"/>
          <w:color w:val="0F172A"/>
          <w:sz w:val="21"/>
        </w:rPr>
        <w:t xml:space="preserve">• Iconography: </w:t>
      </w:r>
      <w:r>
        <w:rPr>
          <w:rFonts w:ascii="Segoe UI" w:hAnsi="Segoe UI"/>
          <w:b w:val="0"/>
          <w:i w:val="0"/>
          <w:color w:val="334155"/>
          <w:sz w:val="21"/>
        </w:rPr>
        <w:t>Over 40 crisp vector icons imported from Lucide React for intuitive visual navigation.</w:t>
      </w:r>
    </w:p>
    <w:p>
      <w:pPr>
        <w:keepNext/>
        <w:spacing w:before="360" w:after="120"/>
      </w:pPr>
      <w:r>
        <w:rPr>
          <w:rFonts w:ascii="Segoe UI" w:hAnsi="Segoe UI"/>
          <w:b/>
          <w:i w:val="0"/>
          <w:color w:val="1E40AF"/>
          <w:sz w:val="36"/>
        </w:rPr>
        <w:t>2. Module Implementation</w:t>
      </w:r>
    </w:p>
    <w:p>
      <w:pPr>
        <w:spacing w:before="40" w:after="120" w:line="276" w:lineRule="auto"/>
      </w:pPr>
      <w:r>
        <w:rPr>
          <w:rFonts w:ascii="Segoe UI" w:hAnsi="Segoe UI"/>
          <w:b w:val="0"/>
          <w:i w:val="0"/>
          <w:color w:val="334155"/>
          <w:sz w:val="21"/>
        </w:rPr>
        <w:t>KoboWise is constructed around six core architectural modules, each engineered for strict single-responsibility, data integrity, and high performance.</w:t>
      </w:r>
    </w:p>
    <w:p>
      <w:pPr>
        <w:keepNext/>
        <w:spacing w:before="280" w:after="80"/>
      </w:pPr>
      <w:r>
        <w:rPr>
          <w:rFonts w:ascii="Segoe UI" w:hAnsi="Segoe UI"/>
          <w:b/>
          <w:i w:val="0"/>
          <w:color w:val="1E3A8A"/>
          <w:sz w:val="28"/>
        </w:rPr>
        <w:t>2.1 Authentication &amp; Dual-Mode Profile Context</w:t>
      </w:r>
    </w:p>
    <w:p>
      <w:pPr>
        <w:spacing w:before="40" w:after="120" w:line="276" w:lineRule="auto"/>
      </w:pPr>
      <w:r>
        <w:rPr>
          <w:rFonts w:ascii="Segoe UI" w:hAnsi="Segoe UI"/>
          <w:b/>
          <w:i w:val="0"/>
          <w:color w:val="0F172A"/>
          <w:sz w:val="21"/>
        </w:rPr>
        <w:t xml:space="preserve">• Target File: </w:t>
      </w:r>
      <w:r>
        <w:rPr>
          <w:rFonts w:ascii="Segoe UI" w:hAnsi="Segoe UI"/>
          <w:b w:val="0"/>
          <w:i w:val="0"/>
          <w:color w:val="334155"/>
          <w:sz w:val="21"/>
        </w:rPr>
        <w:t>Source File: src/context/AuthContext.tsx</w:t>
      </w:r>
    </w:p>
    <w:p>
      <w:pPr>
        <w:spacing w:before="40" w:after="120" w:line="276" w:lineRule="auto"/>
      </w:pPr>
      <w:r>
        <w:rPr>
          <w:rFonts w:ascii="Segoe UI" w:hAnsi="Segoe UI"/>
          <w:b w:val="0"/>
          <w:i w:val="0"/>
          <w:color w:val="334155"/>
          <w:sz w:val="21"/>
        </w:rPr>
        <w:t>The Authentication context implements a resilient dual-mode login flow. In production or cloud-connected mode, it authenticates credentials against Supabase Auth. For offline evaluation or instant demo access (e.g. buyer@delsu.edu or trader@delsu.edu), it falls back seamlessly to browser localStorage user profile stores without locking the UI.</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24" w:space="0" w:color="2563EB"/>
              <w:top w:val="none"/>
              <w:right w:val="none"/>
              <w:bottom w:val="none"/>
            </w:tcBorders>
          </w:tcPr>
          <w:p>
            <w:pPr>
              <w:spacing w:before="0" w:after="0" w:line="252" w:lineRule="auto"/>
            </w:pPr>
            <w:r>
              <w:rPr>
                <w:rFonts w:ascii="Consolas" w:hAnsi="Consolas"/>
                <w:b w:val="0"/>
                <w:i w:val="0"/>
                <w:color w:val="0F172A"/>
                <w:sz w:val="18"/>
              </w:rPr>
              <w:t>const login = async (email: string, password: string) =&gt; {</w:t>
              <w:br/>
              <w:t xml:space="preserve">  setLoading(true);</w:t>
              <w:br/>
              <w:t xml:space="preserve">  try {</w:t>
              <w:br/>
              <w:t xml:space="preserve">    const isDemoEmail = email.includes('buyer@delsu.edu') || email.includes('trader@delsu.edu');</w:t>
              <w:br/>
              <w:t xml:space="preserve">    if (isDemoMode || isDemoEmail) {</w:t>
              <w:br/>
              <w:t xml:space="preserve">      initializeMockDb();</w:t>
              <w:br/>
              <w:t xml:space="preserve">      const profiles = JSON.parse(localStorage.getItem('kobowise_profiles') || '[]');</w:t>
              <w:br/>
              <w:t xml:space="preserve">      const cleanEmail = email.trim().toLowerCase();</w:t>
              <w:br/>
              <w:t xml:space="preserve">      let profile = profiles.find((p: any) =&gt; p.email &amp;&amp; p.email.toLowerCase() === cleanEmail) || null;</w:t>
              <w:br/>
              <w:t xml:space="preserve">      if (profile) {</w:t>
              <w:br/>
              <w:t xml:space="preserve">        setUser(profile);</w:t>
              <w:br/>
              <w:t xml:space="preserve">        localStorage.setItem('kobowise_session_user', profile.id);</w:t>
              <w:br/>
              <w:t xml:space="preserve">        return { success: true };</w:t>
              <w:br/>
              <w:t xml:space="preserve">      }</w:t>
              <w:br/>
              <w:t xml:space="preserve">    } else {</w:t>
              <w:br/>
              <w:t xml:space="preserve">      const { data, error } = await supabase!.auth.signInWithPassword({ email, password });</w:t>
              <w:br/>
              <w:t xml:space="preserve">      if (error) throw error;</w:t>
              <w:br/>
              <w:t xml:space="preserve">      if (data.user) {</w:t>
              <w:br/>
              <w:t xml:space="preserve">        const profile = await dbService.getProfile(data.user.id);</w:t>
              <w:br/>
              <w:t xml:space="preserve">        if (profile) setUser({ ...profile, email: data.user.email });</w:t>
              <w:br/>
              <w:t xml:space="preserve">        return { success: true };</w:t>
              <w:br/>
              <w:t xml:space="preserve">      }</w:t>
              <w:br/>
              <w:t xml:space="preserve">    }</w:t>
              <w:br/>
              <w:t xml:space="preserve">  } finally {</w:t>
              <w:br/>
              <w:t xml:space="preserve">    setLoading(false);</w:t>
              <w:br/>
              <w:t xml:space="preserve">  }</w:t>
              <w:br/>
              <w:t>};</w:t>
            </w:r>
          </w:p>
        </w:tc>
      </w:tr>
    </w:tbl>
    <w:p>
      <w:pPr>
        <w:keepNext/>
        <w:spacing w:before="280" w:after="80"/>
      </w:pPr>
      <w:r>
        <w:rPr>
          <w:rFonts w:ascii="Segoe UI" w:hAnsi="Segoe UI"/>
          <w:b/>
          <w:i w:val="0"/>
          <w:color w:val="1E3A8A"/>
          <w:sz w:val="28"/>
        </w:rPr>
        <w:t>2.2 Product Catalog &amp; Dynamic Search Engine</w:t>
      </w:r>
    </w:p>
    <w:p>
      <w:pPr>
        <w:spacing w:before="40" w:after="120" w:line="276" w:lineRule="auto"/>
      </w:pPr>
      <w:r>
        <w:rPr>
          <w:rFonts w:ascii="Segoe UI" w:hAnsi="Segoe UI"/>
          <w:b/>
          <w:i w:val="0"/>
          <w:color w:val="0F172A"/>
          <w:sz w:val="21"/>
        </w:rPr>
        <w:t xml:space="preserve">• Target Files: </w:t>
      </w:r>
      <w:r>
        <w:rPr>
          <w:rFonts w:ascii="Segoe UI" w:hAnsi="Segoe UI"/>
          <w:b w:val="0"/>
          <w:i w:val="0"/>
          <w:color w:val="334155"/>
          <w:sz w:val="21"/>
        </w:rPr>
        <w:t>Source Files: src/pages/Home.tsx, src/pages/Browse.tsx, src/components/ProductCard.tsx</w:t>
      </w:r>
    </w:p>
    <w:p>
      <w:pPr>
        <w:spacing w:before="40" w:after="120" w:line="276" w:lineRule="auto"/>
      </w:pPr>
      <w:r>
        <w:rPr>
          <w:rFonts w:ascii="Segoe UI" w:hAnsi="Segoe UI"/>
          <w:b w:val="0"/>
          <w:i w:val="0"/>
          <w:color w:val="334155"/>
          <w:sz w:val="21"/>
        </w:rPr>
        <w:t>Renders active bulk group purchases across categories (Food Staples, Cooking Essentials, Beverages, Dairy, Snacks). Each product card displays total wholesale price (e.g. ₦72,000 for a 50kg Royal Stallion Rice Bag), individual portion cost (₦18,000 / 4 shares), real-time capacity progress indicators (shares_purchased / shares_needed), and verified trader location tags across DELSU Abraka.</w:t>
      </w:r>
    </w:p>
    <w:p>
      <w:pPr>
        <w:keepNext/>
        <w:spacing w:before="280" w:after="80"/>
      </w:pPr>
      <w:r>
        <w:rPr>
          <w:rFonts w:ascii="Segoe UI" w:hAnsi="Segoe UI"/>
          <w:b/>
          <w:i w:val="0"/>
          <w:color w:val="1E3A8A"/>
          <w:sz w:val="28"/>
        </w:rPr>
        <w:t>2.3 Group Buy Pooling Engine &amp; Rollover State Machine</w:t>
      </w:r>
    </w:p>
    <w:p>
      <w:pPr>
        <w:spacing w:before="40" w:after="120" w:line="276" w:lineRule="auto"/>
      </w:pPr>
      <w:r>
        <w:rPr>
          <w:rFonts w:ascii="Segoe UI" w:hAnsi="Segoe UI"/>
          <w:b/>
          <w:i w:val="0"/>
          <w:color w:val="0F172A"/>
          <w:sz w:val="21"/>
        </w:rPr>
        <w:t xml:space="preserve">• Target File: </w:t>
      </w:r>
      <w:r>
        <w:rPr>
          <w:rFonts w:ascii="Segoe UI" w:hAnsi="Segoe UI"/>
          <w:b w:val="0"/>
          <w:i w:val="0"/>
          <w:color w:val="334155"/>
          <w:sz w:val="21"/>
        </w:rPr>
        <w:t>Source File: src/supabase.ts (buyShares method)</w:t>
      </w:r>
    </w:p>
    <w:p>
      <w:pPr>
        <w:spacing w:before="40" w:after="120" w:line="276" w:lineRule="auto"/>
      </w:pPr>
      <w:r>
        <w:rPr>
          <w:rFonts w:ascii="Segoe UI" w:hAnsi="Segoe UI"/>
          <w:b w:val="0"/>
          <w:i w:val="0"/>
          <w:color w:val="334155"/>
          <w:sz w:val="21"/>
        </w:rPr>
        <w:t>When a buyer books portion shares, the pooling engine executes an atomic state transaction: (1) Increments shares_purchased count on the active group_orders row. (2) If shares_purchased &gt;= shares_needed, updates group status to 'completed', decrements available merchant stock by 1 unit, and emits a real-time vendor alert. (3) If merchant stock remains, automatically initializes a new pending group order pool.</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24" w:space="0" w:color="2563EB"/>
              <w:top w:val="none"/>
              <w:right w:val="none"/>
              <w:bottom w:val="none"/>
            </w:tcBorders>
          </w:tcPr>
          <w:p>
            <w:pPr>
              <w:spacing w:before="0" w:after="0" w:line="252" w:lineRule="auto"/>
            </w:pPr>
            <w:r>
              <w:rPr>
                <w:rFonts w:ascii="Consolas" w:hAnsi="Consolas"/>
                <w:b w:val="0"/>
                <w:i w:val="0"/>
                <w:color w:val="0F172A"/>
                <w:sz w:val="18"/>
              </w:rPr>
              <w:t>if (isCompleted) {</w:t>
              <w:br/>
              <w:t xml:space="preserve">  const currentStock = product.stock_quantity ?? 30;</w:t>
              <w:br/>
              <w:t xml:space="preserve">  const newStock = Math.max(0, currentStock - 1);</w:t>
              <w:br/>
              <w:t xml:space="preserve">  await supabase!.from('products')</w:t>
              <w:br/>
              <w:t xml:space="preserve">    .update({ stock_quantity: newStock, status: newStock === 0 ? 'completed' : 'active' })</w:t>
              <w:br/>
              <w:t xml:space="preserve">    .eq('id', productId);</w:t>
              <w:br/>
              <w:t xml:space="preserve">  </w:t>
              <w:br/>
              <w:t xml:space="preserve">  if (newStock &gt; 0) {</w:t>
              <w:br/>
              <w:t xml:space="preserve">    await supabase!.from('group_orders').insert({</w:t>
              <w:br/>
              <w:t xml:space="preserve">      product_id: productId,</w:t>
              <w:br/>
              <w:t xml:space="preserve">      shares_needed: product.total_shares,</w:t>
              <w:br/>
              <w:t xml:space="preserve">      shares_purchased: 0,</w:t>
              <w:br/>
              <w:t xml:space="preserve">      status: 'pending'</w:t>
              <w:br/>
              <w:t xml:space="preserve">    });</w:t>
              <w:br/>
              <w:t xml:space="preserve">  }</w:t>
              <w:br/>
              <w:t>}</w:t>
            </w:r>
          </w:p>
        </w:tc>
      </w:tr>
    </w:tbl>
    <w:p>
      <w:pPr>
        <w:keepNext/>
        <w:spacing w:before="280" w:after="80"/>
      </w:pPr>
      <w:r>
        <w:rPr>
          <w:rFonts w:ascii="Segoe UI" w:hAnsi="Segoe UI"/>
          <w:b/>
          <w:i w:val="0"/>
          <w:color w:val="1E3A8A"/>
          <w:sz w:val="28"/>
        </w:rPr>
        <w:t>2.4 Cart &amp; Payment Gateway Integration</w:t>
      </w:r>
    </w:p>
    <w:p>
      <w:pPr>
        <w:spacing w:before="40" w:after="120" w:line="276" w:lineRule="auto"/>
      </w:pPr>
      <w:r>
        <w:rPr>
          <w:rFonts w:ascii="Segoe UI" w:hAnsi="Segoe UI"/>
          <w:b/>
          <w:i w:val="0"/>
          <w:color w:val="0F172A"/>
          <w:sz w:val="21"/>
        </w:rPr>
        <w:t xml:space="preserve">• Target Files: </w:t>
      </w:r>
      <w:r>
        <w:rPr>
          <w:rFonts w:ascii="Segoe UI" w:hAnsi="Segoe UI"/>
          <w:b w:val="0"/>
          <w:i w:val="0"/>
          <w:color w:val="334155"/>
          <w:sz w:val="21"/>
        </w:rPr>
        <w:t>Source Files: src/context/CartContext.tsx, src/components/PaystackModal.tsx, src/pages/Checkout.tsx</w:t>
      </w:r>
    </w:p>
    <w:p>
      <w:pPr>
        <w:spacing w:before="40" w:after="120" w:line="276" w:lineRule="auto"/>
      </w:pPr>
      <w:r>
        <w:rPr>
          <w:rFonts w:ascii="Segoe UI" w:hAnsi="Segoe UI"/>
          <w:b w:val="0"/>
          <w:i w:val="0"/>
          <w:color w:val="334155"/>
          <w:sz w:val="21"/>
        </w:rPr>
        <w:t>Calculates item subtotal, flat campus delivery coordination fee (₦200), generates unique transaction reference codes (e.g. KBW-1721839401), and triggers Paystack inline payment popup or instant student wallet payment simulation.</w:t>
      </w:r>
    </w:p>
    <w:p>
      <w:pPr>
        <w:keepNext/>
        <w:spacing w:before="280" w:after="80"/>
      </w:pPr>
      <w:r>
        <w:rPr>
          <w:rFonts w:ascii="Segoe UI" w:hAnsi="Segoe UI"/>
          <w:b/>
          <w:i w:val="0"/>
          <w:color w:val="1E3A8A"/>
          <w:sz w:val="28"/>
        </w:rPr>
        <w:t>2.5 Trader Fulfillment Dashboard &amp; Order Management</w:t>
      </w:r>
    </w:p>
    <w:p>
      <w:pPr>
        <w:spacing w:before="40" w:after="120" w:line="276" w:lineRule="auto"/>
      </w:pPr>
      <w:r>
        <w:rPr>
          <w:rFonts w:ascii="Segoe UI" w:hAnsi="Segoe UI"/>
          <w:b/>
          <w:i w:val="0"/>
          <w:color w:val="0F172A"/>
          <w:sz w:val="21"/>
        </w:rPr>
        <w:t xml:space="preserve">• Target Files: </w:t>
      </w:r>
      <w:r>
        <w:rPr>
          <w:rFonts w:ascii="Segoe UI" w:hAnsi="Segoe UI"/>
          <w:b w:val="0"/>
          <w:i w:val="0"/>
          <w:color w:val="334155"/>
          <w:sz w:val="21"/>
        </w:rPr>
        <w:t>Source Files: src/pages/TraderDashboard.tsx, src/supabase.ts (getTraderOrders)</w:t>
      </w:r>
    </w:p>
    <w:p>
      <w:pPr>
        <w:spacing w:before="40" w:after="120" w:line="276" w:lineRule="auto"/>
      </w:pPr>
      <w:r>
        <w:rPr>
          <w:rFonts w:ascii="Segoe UI" w:hAnsi="Segoe UI"/>
          <w:b w:val="0"/>
          <w:i w:val="0"/>
          <w:color w:val="334155"/>
          <w:sz w:val="21"/>
        </w:rPr>
        <w:t>Provides campus merchants with an all-in-one control center. Merchants view aggregate store revenue metrics, manage product listings, process incoming buyer orders, monitor stock levels, and execute order state transitions ('Confirm Order' -&gt; 'ready_for_pickup', 'Mark Delivered' -&gt; 'delivered', and issue buyer refunds).</w:t>
      </w:r>
    </w:p>
    <w:p>
      <w:pPr>
        <w:keepNext/>
        <w:spacing w:before="280" w:after="80"/>
      </w:pPr>
      <w:r>
        <w:rPr>
          <w:rFonts w:ascii="Segoe UI" w:hAnsi="Segoe UI"/>
          <w:b/>
          <w:i w:val="0"/>
          <w:color w:val="1E3A8A"/>
          <w:sz w:val="28"/>
        </w:rPr>
        <w:t>2.6 Hybrid Dual-Store Data Access Layer (dbService)</w:t>
      </w:r>
    </w:p>
    <w:p>
      <w:pPr>
        <w:spacing w:before="40" w:after="120" w:line="276" w:lineRule="auto"/>
      </w:pPr>
      <w:r>
        <w:rPr>
          <w:rFonts w:ascii="Segoe UI" w:hAnsi="Segoe UI"/>
          <w:b/>
          <w:i w:val="0"/>
          <w:color w:val="0F172A"/>
          <w:sz w:val="21"/>
        </w:rPr>
        <w:t xml:space="preserve">• Target File: </w:t>
      </w:r>
      <w:r>
        <w:rPr>
          <w:rFonts w:ascii="Segoe UI" w:hAnsi="Segoe UI"/>
          <w:b w:val="0"/>
          <w:i w:val="0"/>
          <w:color w:val="334155"/>
          <w:sz w:val="21"/>
        </w:rPr>
        <w:t>Source File: src/supabase.ts</w:t>
      </w:r>
    </w:p>
    <w:p>
      <w:pPr>
        <w:spacing w:before="40" w:after="120" w:line="276" w:lineRule="auto"/>
      </w:pPr>
      <w:r>
        <w:rPr>
          <w:rFonts w:ascii="Segoe UI" w:hAnsi="Segoe UI"/>
          <w:b w:val="0"/>
          <w:i w:val="0"/>
          <w:color w:val="334155"/>
          <w:sz w:val="21"/>
        </w:rPr>
        <w:t>dbService implements a resilient dual-source reader/writer pattern. It queries Supabase PostgreSQL and merges local browser localStorage orders/wishlists using key maps. This guarantees zero UI lockups during campus cellular network drops.</w:t>
      </w:r>
    </w:p>
    <w:p>
      <w:pPr>
        <w:keepNext/>
        <w:spacing w:before="360" w:after="120"/>
      </w:pPr>
      <w:r>
        <w:rPr>
          <w:rFonts w:ascii="Segoe UI" w:hAnsi="Segoe UI"/>
          <w:b/>
          <w:i w:val="0"/>
          <w:color w:val="1E40AF"/>
          <w:sz w:val="36"/>
        </w:rPr>
        <w:t>3. UI Screenshots &amp; Visual Interface Specification</w:t>
      </w:r>
    </w:p>
    <w:p>
      <w:pPr>
        <w:spacing w:before="40" w:after="120" w:line="276" w:lineRule="auto"/>
      </w:pPr>
      <w:r>
        <w:rPr>
          <w:rFonts w:ascii="Segoe UI" w:hAnsi="Segoe UI"/>
          <w:b w:val="0"/>
          <w:i w:val="0"/>
          <w:color w:val="334155"/>
          <w:sz w:val="21"/>
        </w:rPr>
        <w:t>The following screenshots were captured directly from the live running application (http://localhost:5173), illustrating the core user workflows for both student buyers and verified campus traders.</w:t>
      </w:r>
    </w:p>
    <w:p>
      <w:pPr>
        <w:keepNext/>
        <w:spacing w:before="280" w:after="80"/>
      </w:pPr>
      <w:r>
        <w:rPr>
          <w:rFonts w:ascii="Segoe UI" w:hAnsi="Segoe UI"/>
          <w:b/>
          <w:i w:val="0"/>
          <w:color w:val="1E3A8A"/>
          <w:sz w:val="28"/>
        </w:rPr>
        <w:t>3.1 Student Home Page &amp; Group Buy Co-Op Feed</w:t>
      </w:r>
    </w:p>
    <w:p>
      <w:pPr>
        <w:spacing w:before="40" w:after="120" w:line="276" w:lineRule="auto"/>
      </w:pPr>
      <w:r>
        <w:rPr>
          <w:rFonts w:ascii="Segoe UI" w:hAnsi="Segoe UI"/>
          <w:b w:val="0"/>
          <w:i w:val="0"/>
          <w:color w:val="334155"/>
          <w:sz w:val="21"/>
        </w:rPr>
        <w:t>Displays the main student buying portal featuring the active Co-Op hero banner, category filters, hot deal progress widgets, and live search bar.</w:t>
      </w:r>
    </w:p>
    <w:p>
      <w:r>
        <w:drawing>
          <wp:inline xmlns:a="http://schemas.openxmlformats.org/drawingml/2006/main" xmlns:pic="http://schemas.openxmlformats.org/drawingml/2006/picture">
            <wp:extent cx="5669280" cy="2799207"/>
            <wp:docPr id="1" name="Picture 1"/>
            <wp:cNvGraphicFramePr>
              <a:graphicFrameLocks noChangeAspect="1"/>
            </wp:cNvGraphicFramePr>
            <a:graphic>
              <a:graphicData uri="http://schemas.openxmlformats.org/drawingml/2006/picture">
                <pic:pic>
                  <pic:nvPicPr>
                    <pic:cNvPr id="0" name="landing_page.png"/>
                    <pic:cNvPicPr/>
                  </pic:nvPicPr>
                  <pic:blipFill>
                    <a:blip r:embed="rId9"/>
                    <a:stretch>
                      <a:fillRect/>
                    </a:stretch>
                  </pic:blipFill>
                  <pic:spPr>
                    <a:xfrm>
                      <a:off x="0" y="0"/>
                      <a:ext cx="5669280" cy="2799207"/>
                    </a:xfrm>
                    <a:prstGeom prst="rect"/>
                  </pic:spPr>
                </pic:pic>
              </a:graphicData>
            </a:graphic>
          </wp:inline>
        </w:drawing>
      </w:r>
    </w:p>
    <w:p>
      <w:pPr>
        <w:spacing w:after="240"/>
        <w:jc w:val="center"/>
      </w:pPr>
      <w:r>
        <w:rPr>
          <w:rFonts w:ascii="Segoe UI" w:hAnsi="Segoe UI"/>
          <w:b/>
          <w:i/>
          <w:color w:val="64748B"/>
          <w:sz w:val="18"/>
        </w:rPr>
        <w:t>Figure 3.1: KoboWise Student Home Page &amp; Group Buy Feed (Live Screenshot)</w:t>
      </w:r>
    </w:p>
    <w:p>
      <w:pPr>
        <w:keepNext/>
        <w:spacing w:before="280" w:after="80"/>
      </w:pPr>
      <w:r>
        <w:rPr>
          <w:rFonts w:ascii="Segoe UI" w:hAnsi="Segoe UI"/>
          <w:b/>
          <w:i w:val="0"/>
          <w:color w:val="1E3A8A"/>
          <w:sz w:val="28"/>
        </w:rPr>
        <w:t>3.2 Product Details &amp; Portion Share Booking Interface</w:t>
      </w:r>
    </w:p>
    <w:p>
      <w:pPr>
        <w:spacing w:before="40" w:after="120" w:line="276" w:lineRule="auto"/>
      </w:pPr>
      <w:r>
        <w:rPr>
          <w:rFonts w:ascii="Segoe UI" w:hAnsi="Segoe UI"/>
          <w:b w:val="0"/>
          <w:i w:val="0"/>
          <w:color w:val="334155"/>
          <w:sz w:val="21"/>
        </w:rPr>
        <w:t>Displays complete bulk item specifications, original total wholesale price vs fractional share cost, live pool progress bar, and campus pickup location.</w:t>
      </w:r>
    </w:p>
    <w:p>
      <w:r>
        <w:drawing>
          <wp:inline xmlns:a="http://schemas.openxmlformats.org/drawingml/2006/main" xmlns:pic="http://schemas.openxmlformats.org/drawingml/2006/picture">
            <wp:extent cx="5669280" cy="2799207"/>
            <wp:docPr id="2" name="Picture 2"/>
            <wp:cNvGraphicFramePr>
              <a:graphicFrameLocks noChangeAspect="1"/>
            </wp:cNvGraphicFramePr>
            <a:graphic>
              <a:graphicData uri="http://schemas.openxmlformats.org/drawingml/2006/picture">
                <pic:pic>
                  <pic:nvPicPr>
                    <pic:cNvPr id="0" name="product_details.png"/>
                    <pic:cNvPicPr/>
                  </pic:nvPicPr>
                  <pic:blipFill>
                    <a:blip r:embed="rId10"/>
                    <a:stretch>
                      <a:fillRect/>
                    </a:stretch>
                  </pic:blipFill>
                  <pic:spPr>
                    <a:xfrm>
                      <a:off x="0" y="0"/>
                      <a:ext cx="5669280" cy="2799207"/>
                    </a:xfrm>
                    <a:prstGeom prst="rect"/>
                  </pic:spPr>
                </pic:pic>
              </a:graphicData>
            </a:graphic>
          </wp:inline>
        </w:drawing>
      </w:r>
    </w:p>
    <w:p>
      <w:pPr>
        <w:spacing w:after="240"/>
        <w:jc w:val="center"/>
      </w:pPr>
      <w:r>
        <w:rPr>
          <w:rFonts w:ascii="Segoe UI" w:hAnsi="Segoe UI"/>
          <w:b/>
          <w:i/>
          <w:color w:val="64748B"/>
          <w:sz w:val="18"/>
        </w:rPr>
        <w:t>Figure 3.2: Product Details &amp; Portion Share Selector (Live Screenshot)</w:t>
      </w:r>
    </w:p>
    <w:p>
      <w:pPr>
        <w:keepNext/>
        <w:spacing w:before="280" w:after="80"/>
      </w:pPr>
      <w:r>
        <w:rPr>
          <w:rFonts w:ascii="Segoe UI" w:hAnsi="Segoe UI"/>
          <w:b/>
          <w:i w:val="0"/>
          <w:color w:val="1E3A8A"/>
          <w:sz w:val="28"/>
        </w:rPr>
        <w:t>3.3 Cart Summary &amp; Payment Gateway Checkout Window</w:t>
      </w:r>
    </w:p>
    <w:p>
      <w:pPr>
        <w:spacing w:before="40" w:after="120" w:line="276" w:lineRule="auto"/>
      </w:pPr>
      <w:r>
        <w:rPr>
          <w:rFonts w:ascii="Segoe UI" w:hAnsi="Segoe UI"/>
          <w:b w:val="0"/>
          <w:i w:val="0"/>
          <w:color w:val="334155"/>
          <w:sz w:val="21"/>
        </w:rPr>
        <w:t>Displays selected group portion items, cost breakdown, flat ₦200 campus coordination fee, student contact form, and inline Paystack payment trigger.</w:t>
      </w:r>
    </w:p>
    <w:p>
      <w:r>
        <w:drawing>
          <wp:inline xmlns:a="http://schemas.openxmlformats.org/drawingml/2006/main" xmlns:pic="http://schemas.openxmlformats.org/drawingml/2006/picture">
            <wp:extent cx="5669280" cy="2799207"/>
            <wp:docPr id="3" name="Picture 3"/>
            <wp:cNvGraphicFramePr>
              <a:graphicFrameLocks noChangeAspect="1"/>
            </wp:cNvGraphicFramePr>
            <a:graphic>
              <a:graphicData uri="http://schemas.openxmlformats.org/drawingml/2006/picture">
                <pic:pic>
                  <pic:nvPicPr>
                    <pic:cNvPr id="0" name="cart_checkout.png"/>
                    <pic:cNvPicPr/>
                  </pic:nvPicPr>
                  <pic:blipFill>
                    <a:blip r:embed="rId11"/>
                    <a:stretch>
                      <a:fillRect/>
                    </a:stretch>
                  </pic:blipFill>
                  <pic:spPr>
                    <a:xfrm>
                      <a:off x="0" y="0"/>
                      <a:ext cx="5669280" cy="2799207"/>
                    </a:xfrm>
                    <a:prstGeom prst="rect"/>
                  </pic:spPr>
                </pic:pic>
              </a:graphicData>
            </a:graphic>
          </wp:inline>
        </w:drawing>
      </w:r>
    </w:p>
    <w:p>
      <w:pPr>
        <w:spacing w:after="240"/>
        <w:jc w:val="center"/>
      </w:pPr>
      <w:r>
        <w:rPr>
          <w:rFonts w:ascii="Segoe UI" w:hAnsi="Segoe UI"/>
          <w:b/>
          <w:i/>
          <w:color w:val="64748B"/>
          <w:sz w:val="18"/>
        </w:rPr>
        <w:t>Figure 3.3: Cart &amp; Checkout Interface with Paystack Trigger (Live Screenshot)</w:t>
      </w:r>
    </w:p>
    <w:p>
      <w:pPr>
        <w:keepNext/>
        <w:spacing w:before="280" w:after="80"/>
      </w:pPr>
      <w:r>
        <w:rPr>
          <w:rFonts w:ascii="Segoe UI" w:hAnsi="Segoe UI"/>
          <w:b/>
          <w:i w:val="0"/>
          <w:color w:val="1E3A8A"/>
          <w:sz w:val="28"/>
        </w:rPr>
        <w:t>3.4 Trader Dashboard &amp; Inventory Management Hub</w:t>
      </w:r>
    </w:p>
    <w:p>
      <w:pPr>
        <w:spacing w:before="40" w:after="120" w:line="276" w:lineRule="auto"/>
      </w:pPr>
      <w:r>
        <w:rPr>
          <w:rFonts w:ascii="Segoe UI" w:hAnsi="Segoe UI"/>
          <w:b w:val="0"/>
          <w:i w:val="0"/>
          <w:color w:val="334155"/>
          <w:sz w:val="21"/>
        </w:rPr>
        <w:t>Displays verified merchant revenue metrics (₦437,000 total revenue), active listings count (24 active splits), pending order queues, and status toggle action buttons.</w:t>
      </w:r>
    </w:p>
    <w:p>
      <w:r>
        <w:drawing>
          <wp:inline xmlns:a="http://schemas.openxmlformats.org/drawingml/2006/main" xmlns:pic="http://schemas.openxmlformats.org/drawingml/2006/picture">
            <wp:extent cx="5669280" cy="2799207"/>
            <wp:docPr id="4" name="Picture 4"/>
            <wp:cNvGraphicFramePr>
              <a:graphicFrameLocks noChangeAspect="1"/>
            </wp:cNvGraphicFramePr>
            <a:graphic>
              <a:graphicData uri="http://schemas.openxmlformats.org/drawingml/2006/picture">
                <pic:pic>
                  <pic:nvPicPr>
                    <pic:cNvPr id="0" name="trader_dashboard.png"/>
                    <pic:cNvPicPr/>
                  </pic:nvPicPr>
                  <pic:blipFill>
                    <a:blip r:embed="rId12"/>
                    <a:stretch>
                      <a:fillRect/>
                    </a:stretch>
                  </pic:blipFill>
                  <pic:spPr>
                    <a:xfrm>
                      <a:off x="0" y="0"/>
                      <a:ext cx="5669280" cy="2799207"/>
                    </a:xfrm>
                    <a:prstGeom prst="rect"/>
                  </pic:spPr>
                </pic:pic>
              </a:graphicData>
            </a:graphic>
          </wp:inline>
        </w:drawing>
      </w:r>
    </w:p>
    <w:p>
      <w:pPr>
        <w:spacing w:after="240"/>
        <w:jc w:val="center"/>
      </w:pPr>
      <w:r>
        <w:rPr>
          <w:rFonts w:ascii="Segoe UI" w:hAnsi="Segoe UI"/>
          <w:b/>
          <w:i/>
          <w:color w:val="64748B"/>
          <w:sz w:val="18"/>
        </w:rPr>
        <w:t>Figure 3.4: KoboWise Trader Dashboard &amp; Revenue Analytics (Live Screenshot)</w:t>
      </w:r>
    </w:p>
    <w:p>
      <w:pPr>
        <w:keepNext/>
        <w:spacing w:before="280" w:after="80"/>
      </w:pPr>
      <w:r>
        <w:rPr>
          <w:rFonts w:ascii="Segoe UI" w:hAnsi="Segoe UI"/>
          <w:b/>
          <w:i w:val="0"/>
          <w:color w:val="1E3A8A"/>
          <w:sz w:val="28"/>
        </w:rPr>
        <w:t>3.5 Student Profile &amp; Order History Center</w:t>
      </w:r>
    </w:p>
    <w:p>
      <w:pPr>
        <w:spacing w:before="40" w:after="120" w:line="276" w:lineRule="auto"/>
      </w:pPr>
      <w:r>
        <w:rPr>
          <w:rFonts w:ascii="Segoe UI" w:hAnsi="Segoe UI"/>
          <w:b w:val="0"/>
          <w:i w:val="0"/>
          <w:color w:val="334155"/>
          <w:sz w:val="21"/>
        </w:rPr>
        <w:t>Displays student verification credentials (DELSU Abraka Verified Student badge), past group order receipts, and real-time pickup status tracking.</w:t>
      </w:r>
    </w:p>
    <w:p>
      <w:r>
        <w:drawing>
          <wp:inline xmlns:a="http://schemas.openxmlformats.org/drawingml/2006/main" xmlns:pic="http://schemas.openxmlformats.org/drawingml/2006/picture">
            <wp:extent cx="5669280" cy="2799207"/>
            <wp:docPr id="5" name="Picture 5"/>
            <wp:cNvGraphicFramePr>
              <a:graphicFrameLocks noChangeAspect="1"/>
            </wp:cNvGraphicFramePr>
            <a:graphic>
              <a:graphicData uri="http://schemas.openxmlformats.org/drawingml/2006/picture">
                <pic:pic>
                  <pic:nvPicPr>
                    <pic:cNvPr id="0" name="user_profile.png"/>
                    <pic:cNvPicPr/>
                  </pic:nvPicPr>
                  <pic:blipFill>
                    <a:blip r:embed="rId13"/>
                    <a:stretch>
                      <a:fillRect/>
                    </a:stretch>
                  </pic:blipFill>
                  <pic:spPr>
                    <a:xfrm>
                      <a:off x="0" y="0"/>
                      <a:ext cx="5669280" cy="2799207"/>
                    </a:xfrm>
                    <a:prstGeom prst="rect"/>
                  </pic:spPr>
                </pic:pic>
              </a:graphicData>
            </a:graphic>
          </wp:inline>
        </w:drawing>
      </w:r>
    </w:p>
    <w:p>
      <w:pPr>
        <w:spacing w:after="240"/>
        <w:jc w:val="center"/>
      </w:pPr>
      <w:r>
        <w:rPr>
          <w:rFonts w:ascii="Segoe UI" w:hAnsi="Segoe UI"/>
          <w:b/>
          <w:i/>
          <w:color w:val="64748B"/>
          <w:sz w:val="18"/>
        </w:rPr>
        <w:t>Figure 3.5: Student Profile &amp; Purchase History Center (Live Screenshot)</w:t>
      </w:r>
    </w:p>
    <w:p>
      <w:pPr>
        <w:keepNext/>
        <w:spacing w:before="360" w:after="120"/>
      </w:pPr>
      <w:r>
        <w:rPr>
          <w:rFonts w:ascii="Segoe UI" w:hAnsi="Segoe UI"/>
          <w:b/>
          <w:i w:val="0"/>
          <w:color w:val="1E40AF"/>
          <w:sz w:val="36"/>
        </w:rPr>
        <w:t>4. Testing &amp; Test-Case Tables</w:t>
      </w:r>
    </w:p>
    <w:p>
      <w:pPr>
        <w:spacing w:before="40" w:after="120" w:line="276" w:lineRule="auto"/>
      </w:pPr>
      <w:r>
        <w:rPr>
          <w:rFonts w:ascii="Segoe UI" w:hAnsi="Segoe UI"/>
          <w:b w:val="0"/>
          <w:i w:val="0"/>
          <w:color w:val="334155"/>
          <w:sz w:val="21"/>
        </w:rPr>
        <w:t>The KoboWise platform underwent rigorous end-to-end black-box testing and integration testing across 10 primary functional modules to verify state transitions, state merging, offline fallbacks, and user interface responsiveness.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337"/>
        <w:gridCol w:w="1337"/>
        <w:gridCol w:w="1337"/>
        <w:gridCol w:w="1337"/>
        <w:gridCol w:w="1337"/>
        <w:gridCol w:w="1337"/>
        <w:gridCol w:w="1337"/>
      </w:tblGrid>
      <w:tr>
        <w:tc>
          <w:tcPr>
            <w:tcW w:type="dxa" w:w="1008"/>
            <w:shd w:fill="1E40AF"/>
            <w:tcMar>
              <w:top w:w="120" w:type="dxa"/>
              <w:bottom w:w="120" w:type="dxa"/>
              <w:left w:w="120" w:type="dxa"/>
              <w:right w:w="120" w:type="dxa"/>
            </w:tcMar>
          </w:tcPr>
          <w:p>
            <w:pPr>
              <w:spacing w:before="40" w:after="40"/>
              <w:jc w:val="left"/>
            </w:pPr>
            <w:r>
              <w:rPr>
                <w:rFonts w:ascii="Segoe UI" w:hAnsi="Segoe UI"/>
                <w:b/>
                <w:i w:val="0"/>
                <w:color w:val="FFFFFF"/>
                <w:sz w:val="19"/>
              </w:rPr>
              <w:t>Test ID</w:t>
            </w:r>
          </w:p>
        </w:tc>
        <w:tc>
          <w:tcPr>
            <w:tcW w:type="dxa" w:w="1296"/>
            <w:shd w:fill="1E40AF"/>
            <w:tcMar>
              <w:top w:w="120" w:type="dxa"/>
              <w:bottom w:w="120" w:type="dxa"/>
              <w:left w:w="120" w:type="dxa"/>
              <w:right w:w="120" w:type="dxa"/>
            </w:tcMar>
          </w:tcPr>
          <w:p>
            <w:pPr>
              <w:spacing w:before="40" w:after="40"/>
              <w:jc w:val="left"/>
            </w:pPr>
            <w:r>
              <w:rPr>
                <w:rFonts w:ascii="Segoe UI" w:hAnsi="Segoe UI"/>
                <w:b/>
                <w:i w:val="0"/>
                <w:color w:val="FFFFFF"/>
                <w:sz w:val="19"/>
              </w:rPr>
              <w:t>Module</w:t>
            </w:r>
          </w:p>
        </w:tc>
        <w:tc>
          <w:tcPr>
            <w:tcW w:type="dxa" w:w="1872"/>
            <w:shd w:fill="1E40AF"/>
            <w:tcMar>
              <w:top w:w="120" w:type="dxa"/>
              <w:bottom w:w="120" w:type="dxa"/>
              <w:left w:w="120" w:type="dxa"/>
              <w:right w:w="120" w:type="dxa"/>
            </w:tcMar>
          </w:tcPr>
          <w:p>
            <w:pPr>
              <w:spacing w:before="40" w:after="40"/>
              <w:jc w:val="left"/>
            </w:pPr>
            <w:r>
              <w:rPr>
                <w:rFonts w:ascii="Segoe UI" w:hAnsi="Segoe UI"/>
                <w:b/>
                <w:i w:val="0"/>
                <w:color w:val="FFFFFF"/>
                <w:sz w:val="19"/>
              </w:rPr>
              <w:t>Scenario / Objective</w:t>
            </w:r>
          </w:p>
        </w:tc>
        <w:tc>
          <w:tcPr>
            <w:tcW w:type="dxa" w:w="1584"/>
            <w:shd w:fill="1E40AF"/>
            <w:tcMar>
              <w:top w:w="120" w:type="dxa"/>
              <w:bottom w:w="120" w:type="dxa"/>
              <w:left w:w="120" w:type="dxa"/>
              <w:right w:w="120" w:type="dxa"/>
            </w:tcMar>
          </w:tcPr>
          <w:p>
            <w:pPr>
              <w:spacing w:before="40" w:after="40"/>
              <w:jc w:val="left"/>
            </w:pPr>
            <w:r>
              <w:rPr>
                <w:rFonts w:ascii="Segoe UI" w:hAnsi="Segoe UI"/>
                <w:b/>
                <w:i w:val="0"/>
                <w:color w:val="FFFFFF"/>
                <w:sz w:val="19"/>
              </w:rPr>
              <w:t>Input Data</w:t>
            </w:r>
          </w:p>
        </w:tc>
        <w:tc>
          <w:tcPr>
            <w:tcW w:type="dxa" w:w="1728"/>
            <w:shd w:fill="1E40AF"/>
            <w:tcMar>
              <w:top w:w="120" w:type="dxa"/>
              <w:bottom w:w="120" w:type="dxa"/>
              <w:left w:w="120" w:type="dxa"/>
              <w:right w:w="120" w:type="dxa"/>
            </w:tcMar>
          </w:tcPr>
          <w:p>
            <w:pPr>
              <w:spacing w:before="40" w:after="40"/>
              <w:jc w:val="left"/>
            </w:pPr>
            <w:r>
              <w:rPr>
                <w:rFonts w:ascii="Segoe UI" w:hAnsi="Segoe UI"/>
                <w:b/>
                <w:i w:val="0"/>
                <w:color w:val="FFFFFF"/>
                <w:sz w:val="19"/>
              </w:rPr>
              <w:t>Expected Result</w:t>
            </w:r>
          </w:p>
        </w:tc>
        <w:tc>
          <w:tcPr>
            <w:tcW w:type="dxa" w:w="1152"/>
            <w:shd w:fill="1E40AF"/>
            <w:tcMar>
              <w:top w:w="120" w:type="dxa"/>
              <w:bottom w:w="120" w:type="dxa"/>
              <w:left w:w="120" w:type="dxa"/>
              <w:right w:w="120" w:type="dxa"/>
            </w:tcMar>
          </w:tcPr>
          <w:p>
            <w:pPr>
              <w:spacing w:before="40" w:after="40"/>
              <w:jc w:val="left"/>
            </w:pPr>
            <w:r>
              <w:rPr>
                <w:rFonts w:ascii="Segoe UI" w:hAnsi="Segoe UI"/>
                <w:b/>
                <w:i w:val="0"/>
                <w:color w:val="FFFFFF"/>
                <w:sz w:val="19"/>
              </w:rPr>
              <w:t>Actual Result</w:t>
            </w:r>
          </w:p>
        </w:tc>
        <w:tc>
          <w:tcPr>
            <w:tcW w:type="dxa" w:w="720"/>
            <w:shd w:fill="1E40AF"/>
            <w:tcMar>
              <w:top w:w="120" w:type="dxa"/>
              <w:bottom w:w="120" w:type="dxa"/>
              <w:left w:w="120" w:type="dxa"/>
              <w:right w:w="120" w:type="dxa"/>
            </w:tcMar>
          </w:tcPr>
          <w:p>
            <w:pPr>
              <w:spacing w:before="40" w:after="40"/>
              <w:jc w:val="left"/>
            </w:pPr>
            <w:r>
              <w:rPr>
                <w:rFonts w:ascii="Segoe UI" w:hAnsi="Segoe UI"/>
                <w:b/>
                <w:i w:val="0"/>
                <w:color w:val="FFFFFF"/>
                <w:sz w:val="19"/>
              </w:rPr>
              <w:t>Status</w:t>
            </w:r>
          </w:p>
        </w:tc>
      </w:tr>
      <w:tr>
        <w:tc>
          <w:tcPr>
            <w:tcW w:type="dxa" w:w="1008"/>
            <w:shd w:fill="FFFFFF"/>
            <w:tcMar>
              <w:top w:w="80" w:type="dxa"/>
              <w:bottom w:w="80" w:type="dxa"/>
              <w:left w:w="100" w:type="dxa"/>
              <w:right w:w="100" w:type="dxa"/>
            </w:tcMar>
          </w:tcPr>
          <w:p>
            <w:pPr>
              <w:spacing w:before="20" w:after="20" w:line="264" w:lineRule="auto"/>
              <w:jc w:val="left"/>
            </w:pPr>
            <w:r>
              <w:rPr>
                <w:rFonts w:ascii="Segoe UI" w:hAnsi="Segoe UI"/>
                <w:b/>
                <w:i w:val="0"/>
                <w:color w:val="1E40AF"/>
                <w:sz w:val="18"/>
              </w:rPr>
              <w:t>TC-01</w:t>
            </w:r>
          </w:p>
        </w:tc>
        <w:tc>
          <w:tcPr>
            <w:tcW w:type="dxa" w:w="1296"/>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Auth</w:t>
            </w:r>
          </w:p>
        </w:tc>
        <w:tc>
          <w:tcPr>
            <w:tcW w:type="dxa" w:w="1872"/>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Student login with valid credentials</w:t>
            </w:r>
          </w:p>
        </w:tc>
        <w:tc>
          <w:tcPr>
            <w:tcW w:type="dxa" w:w="1584"/>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email: buyer@delsu.edu</w:t>
              <w:br/>
              <w:t>pass: demo123</w:t>
            </w:r>
          </w:p>
        </w:tc>
        <w:tc>
          <w:tcPr>
            <w:tcW w:type="dxa" w:w="1728"/>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Successful login, routing to /home with user state set.</w:t>
            </w:r>
          </w:p>
        </w:tc>
        <w:tc>
          <w:tcPr>
            <w:tcW w:type="dxa" w:w="1152"/>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Navigated to /home, user profile loaded cleanly.</w:t>
            </w:r>
          </w:p>
        </w:tc>
        <w:tc>
          <w:tcPr>
            <w:tcW w:type="dxa" w:w="720"/>
            <w:shd w:fill="FFFFFF"/>
            <w:tcMar>
              <w:top w:w="80" w:type="dxa"/>
              <w:bottom w:w="80" w:type="dxa"/>
              <w:left w:w="100" w:type="dxa"/>
              <w:right w:w="100" w:type="dxa"/>
            </w:tcMar>
          </w:tcPr>
          <w:p>
            <w:pPr>
              <w:spacing w:before="20" w:after="20" w:line="264" w:lineRule="auto"/>
              <w:jc w:val="left"/>
            </w:pPr>
            <w:r>
              <w:rPr>
                <w:rFonts w:ascii="Segoe UI" w:hAnsi="Segoe UI"/>
                <w:b/>
                <w:i w:val="0"/>
                <w:color w:val="15803D"/>
                <w:sz w:val="18"/>
              </w:rPr>
              <w:t>PASS</w:t>
            </w:r>
          </w:p>
        </w:tc>
      </w:tr>
      <w:tr>
        <w:tc>
          <w:tcPr>
            <w:tcW w:type="dxa" w:w="1008"/>
            <w:shd w:fill="F8FAFC"/>
            <w:tcMar>
              <w:top w:w="80" w:type="dxa"/>
              <w:bottom w:w="80" w:type="dxa"/>
              <w:left w:w="100" w:type="dxa"/>
              <w:right w:w="100" w:type="dxa"/>
            </w:tcMar>
          </w:tcPr>
          <w:p>
            <w:pPr>
              <w:spacing w:before="20" w:after="20" w:line="264" w:lineRule="auto"/>
              <w:jc w:val="left"/>
            </w:pPr>
            <w:r>
              <w:rPr>
                <w:rFonts w:ascii="Segoe UI" w:hAnsi="Segoe UI"/>
                <w:b/>
                <w:i w:val="0"/>
                <w:color w:val="1E40AF"/>
                <w:sz w:val="18"/>
              </w:rPr>
              <w:t>TC-02</w:t>
            </w:r>
          </w:p>
        </w:tc>
        <w:tc>
          <w:tcPr>
            <w:tcW w:type="dxa" w:w="1296"/>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Auth</w:t>
            </w:r>
          </w:p>
        </w:tc>
        <w:tc>
          <w:tcPr>
            <w:tcW w:type="dxa" w:w="1872"/>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Non-UUID trader demo session</w:t>
            </w:r>
          </w:p>
        </w:tc>
        <w:tc>
          <w:tcPr>
            <w:tcW w:type="dxa" w:w="1584"/>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email: trader@delsu.edu</w:t>
            </w:r>
          </w:p>
        </w:tc>
        <w:tc>
          <w:tcPr>
            <w:tcW w:type="dxa" w:w="1728"/>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Dashboard loads without stuck loading screen.</w:t>
            </w:r>
          </w:p>
        </w:tc>
        <w:tc>
          <w:tcPr>
            <w:tcW w:type="dxa" w:w="1152"/>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setLoading(false) executed, dashboard displayed.</w:t>
            </w:r>
          </w:p>
        </w:tc>
        <w:tc>
          <w:tcPr>
            <w:tcW w:type="dxa" w:w="720"/>
            <w:shd w:fill="F8FAFC"/>
            <w:tcMar>
              <w:top w:w="80" w:type="dxa"/>
              <w:bottom w:w="80" w:type="dxa"/>
              <w:left w:w="100" w:type="dxa"/>
              <w:right w:w="100" w:type="dxa"/>
            </w:tcMar>
          </w:tcPr>
          <w:p>
            <w:pPr>
              <w:spacing w:before="20" w:after="20" w:line="264" w:lineRule="auto"/>
              <w:jc w:val="left"/>
            </w:pPr>
            <w:r>
              <w:rPr>
                <w:rFonts w:ascii="Segoe UI" w:hAnsi="Segoe UI"/>
                <w:b/>
                <w:i w:val="0"/>
                <w:color w:val="15803D"/>
                <w:sz w:val="18"/>
              </w:rPr>
              <w:t>PASS</w:t>
            </w:r>
          </w:p>
        </w:tc>
      </w:tr>
      <w:tr>
        <w:tc>
          <w:tcPr>
            <w:tcW w:type="dxa" w:w="1008"/>
            <w:shd w:fill="FFFFFF"/>
            <w:tcMar>
              <w:top w:w="80" w:type="dxa"/>
              <w:bottom w:w="80" w:type="dxa"/>
              <w:left w:w="100" w:type="dxa"/>
              <w:right w:w="100" w:type="dxa"/>
            </w:tcMar>
          </w:tcPr>
          <w:p>
            <w:pPr>
              <w:spacing w:before="20" w:after="20" w:line="264" w:lineRule="auto"/>
              <w:jc w:val="left"/>
            </w:pPr>
            <w:r>
              <w:rPr>
                <w:rFonts w:ascii="Segoe UI" w:hAnsi="Segoe UI"/>
                <w:b/>
                <w:i w:val="0"/>
                <w:color w:val="1E40AF"/>
                <w:sz w:val="18"/>
              </w:rPr>
              <w:t>TC-03</w:t>
            </w:r>
          </w:p>
        </w:tc>
        <w:tc>
          <w:tcPr>
            <w:tcW w:type="dxa" w:w="1296"/>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Catalog</w:t>
            </w:r>
          </w:p>
        </w:tc>
        <w:tc>
          <w:tcPr>
            <w:tcW w:type="dxa" w:w="1872"/>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Filter products by category tag</w:t>
            </w:r>
          </w:p>
        </w:tc>
        <w:tc>
          <w:tcPr>
            <w:tcW w:type="dxa" w:w="1584"/>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Click 'Food Staples'</w:t>
            </w:r>
          </w:p>
        </w:tc>
        <w:tc>
          <w:tcPr>
            <w:tcW w:type="dxa" w:w="1728"/>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Only products with category: 'food' display.</w:t>
            </w:r>
          </w:p>
        </w:tc>
        <w:tc>
          <w:tcPr>
            <w:tcW w:type="dxa" w:w="1152"/>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Catalog filtered instantly to food staples items.</w:t>
            </w:r>
          </w:p>
        </w:tc>
        <w:tc>
          <w:tcPr>
            <w:tcW w:type="dxa" w:w="720"/>
            <w:shd w:fill="FFFFFF"/>
            <w:tcMar>
              <w:top w:w="80" w:type="dxa"/>
              <w:bottom w:w="80" w:type="dxa"/>
              <w:left w:w="100" w:type="dxa"/>
              <w:right w:w="100" w:type="dxa"/>
            </w:tcMar>
          </w:tcPr>
          <w:p>
            <w:pPr>
              <w:spacing w:before="20" w:after="20" w:line="264" w:lineRule="auto"/>
              <w:jc w:val="left"/>
            </w:pPr>
            <w:r>
              <w:rPr>
                <w:rFonts w:ascii="Segoe UI" w:hAnsi="Segoe UI"/>
                <w:b/>
                <w:i w:val="0"/>
                <w:color w:val="15803D"/>
                <w:sz w:val="18"/>
              </w:rPr>
              <w:t>PASS</w:t>
            </w:r>
          </w:p>
        </w:tc>
      </w:tr>
      <w:tr>
        <w:tc>
          <w:tcPr>
            <w:tcW w:type="dxa" w:w="1008"/>
            <w:shd w:fill="F8FAFC"/>
            <w:tcMar>
              <w:top w:w="80" w:type="dxa"/>
              <w:bottom w:w="80" w:type="dxa"/>
              <w:left w:w="100" w:type="dxa"/>
              <w:right w:w="100" w:type="dxa"/>
            </w:tcMar>
          </w:tcPr>
          <w:p>
            <w:pPr>
              <w:spacing w:before="20" w:after="20" w:line="264" w:lineRule="auto"/>
              <w:jc w:val="left"/>
            </w:pPr>
            <w:r>
              <w:rPr>
                <w:rFonts w:ascii="Segoe UI" w:hAnsi="Segoe UI"/>
                <w:b/>
                <w:i w:val="0"/>
                <w:color w:val="1E40AF"/>
                <w:sz w:val="18"/>
              </w:rPr>
              <w:t>TC-04</w:t>
            </w:r>
          </w:p>
        </w:tc>
        <w:tc>
          <w:tcPr>
            <w:tcW w:type="dxa" w:w="1296"/>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Group Buy</w:t>
            </w:r>
          </w:p>
        </w:tc>
        <w:tc>
          <w:tcPr>
            <w:tcW w:type="dxa" w:w="1872"/>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Purchase 1 share of bulk product</w:t>
            </w:r>
          </w:p>
        </w:tc>
        <w:tc>
          <w:tcPr>
            <w:tcW w:type="dxa" w:w="1584"/>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sharesToBuy: 1</w:t>
              <w:br/>
              <w:t>prod: Rice 50kg</w:t>
            </w:r>
          </w:p>
        </w:tc>
        <w:tc>
          <w:tcPr>
            <w:tcW w:type="dxa" w:w="1728"/>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Group shares_purchased increments from 0 to 1; progress bar reaches 25%.</w:t>
            </w:r>
          </w:p>
        </w:tc>
        <w:tc>
          <w:tcPr>
            <w:tcW w:type="dxa" w:w="1152"/>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Progress bar updated to 25% (1/4 shares booked).</w:t>
            </w:r>
          </w:p>
        </w:tc>
        <w:tc>
          <w:tcPr>
            <w:tcW w:type="dxa" w:w="720"/>
            <w:shd w:fill="F8FAFC"/>
            <w:tcMar>
              <w:top w:w="80" w:type="dxa"/>
              <w:bottom w:w="80" w:type="dxa"/>
              <w:left w:w="100" w:type="dxa"/>
              <w:right w:w="100" w:type="dxa"/>
            </w:tcMar>
          </w:tcPr>
          <w:p>
            <w:pPr>
              <w:spacing w:before="20" w:after="20" w:line="264" w:lineRule="auto"/>
              <w:jc w:val="left"/>
            </w:pPr>
            <w:r>
              <w:rPr>
                <w:rFonts w:ascii="Segoe UI" w:hAnsi="Segoe UI"/>
                <w:b/>
                <w:i w:val="0"/>
                <w:color w:val="15803D"/>
                <w:sz w:val="18"/>
              </w:rPr>
              <w:t>PASS</w:t>
            </w:r>
          </w:p>
        </w:tc>
      </w:tr>
      <w:tr>
        <w:tc>
          <w:tcPr>
            <w:tcW w:type="dxa" w:w="1008"/>
            <w:shd w:fill="FFFFFF"/>
            <w:tcMar>
              <w:top w:w="80" w:type="dxa"/>
              <w:bottom w:w="80" w:type="dxa"/>
              <w:left w:w="100" w:type="dxa"/>
              <w:right w:w="100" w:type="dxa"/>
            </w:tcMar>
          </w:tcPr>
          <w:p>
            <w:pPr>
              <w:spacing w:before="20" w:after="20" w:line="264" w:lineRule="auto"/>
              <w:jc w:val="left"/>
            </w:pPr>
            <w:r>
              <w:rPr>
                <w:rFonts w:ascii="Segoe UI" w:hAnsi="Segoe UI"/>
                <w:b/>
                <w:i w:val="0"/>
                <w:color w:val="1E40AF"/>
                <w:sz w:val="18"/>
              </w:rPr>
              <w:t>TC-05</w:t>
            </w:r>
          </w:p>
        </w:tc>
        <w:tc>
          <w:tcPr>
            <w:tcW w:type="dxa" w:w="1296"/>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Group Buy</w:t>
            </w:r>
          </w:p>
        </w:tc>
        <w:tc>
          <w:tcPr>
            <w:tcW w:type="dxa" w:w="1872"/>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Complete final share of group order</w:t>
            </w:r>
          </w:p>
        </w:tc>
        <w:tc>
          <w:tcPr>
            <w:tcW w:type="dxa" w:w="1584"/>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sharesToBuy: 1</w:t>
              <w:br/>
              <w:t>shares: 3/4</w:t>
            </w:r>
          </w:p>
        </w:tc>
        <w:tc>
          <w:tcPr>
            <w:tcW w:type="dxa" w:w="1728"/>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Group status changes to 'completed', stock decrements by 1, vendor notified.</w:t>
            </w:r>
          </w:p>
        </w:tc>
        <w:tc>
          <w:tcPr>
            <w:tcW w:type="dxa" w:w="1152"/>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Status set to 'completed', stock updated, vendor alerted.</w:t>
            </w:r>
          </w:p>
        </w:tc>
        <w:tc>
          <w:tcPr>
            <w:tcW w:type="dxa" w:w="720"/>
            <w:shd w:fill="FFFFFF"/>
            <w:tcMar>
              <w:top w:w="80" w:type="dxa"/>
              <w:bottom w:w="80" w:type="dxa"/>
              <w:left w:w="100" w:type="dxa"/>
              <w:right w:w="100" w:type="dxa"/>
            </w:tcMar>
          </w:tcPr>
          <w:p>
            <w:pPr>
              <w:spacing w:before="20" w:after="20" w:line="264" w:lineRule="auto"/>
              <w:jc w:val="left"/>
            </w:pPr>
            <w:r>
              <w:rPr>
                <w:rFonts w:ascii="Segoe UI" w:hAnsi="Segoe UI"/>
                <w:b/>
                <w:i w:val="0"/>
                <w:color w:val="15803D"/>
                <w:sz w:val="18"/>
              </w:rPr>
              <w:t>PASS</w:t>
            </w:r>
          </w:p>
        </w:tc>
      </w:tr>
      <w:tr>
        <w:tc>
          <w:tcPr>
            <w:tcW w:type="dxa" w:w="1008"/>
            <w:shd w:fill="F8FAFC"/>
            <w:tcMar>
              <w:top w:w="80" w:type="dxa"/>
              <w:bottom w:w="80" w:type="dxa"/>
              <w:left w:w="100" w:type="dxa"/>
              <w:right w:w="100" w:type="dxa"/>
            </w:tcMar>
          </w:tcPr>
          <w:p>
            <w:pPr>
              <w:spacing w:before="20" w:after="20" w:line="264" w:lineRule="auto"/>
              <w:jc w:val="left"/>
            </w:pPr>
            <w:r>
              <w:rPr>
                <w:rFonts w:ascii="Segoe UI" w:hAnsi="Segoe UI"/>
                <w:b/>
                <w:i w:val="0"/>
                <w:color w:val="1E40AF"/>
                <w:sz w:val="18"/>
              </w:rPr>
              <w:t>TC-06</w:t>
            </w:r>
          </w:p>
        </w:tc>
        <w:tc>
          <w:tcPr>
            <w:tcW w:type="dxa" w:w="1296"/>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Checkout</w:t>
            </w:r>
          </w:p>
        </w:tc>
        <w:tc>
          <w:tcPr>
            <w:tcW w:type="dxa" w:w="1872"/>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Process order via Paystack simulation</w:t>
            </w:r>
          </w:p>
        </w:tc>
        <w:tc>
          <w:tcPr>
            <w:tcW w:type="dxa" w:w="1584"/>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payment: 'paystack'</w:t>
              <w:br/>
              <w:t>amount: ₦18,200</w:t>
            </w:r>
          </w:p>
        </w:tc>
        <w:tc>
          <w:tcPr>
            <w:tcW w:type="dxa" w:w="1728"/>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Order inserted into DB, reference KBW-... generated, cart cleared.</w:t>
            </w:r>
          </w:p>
        </w:tc>
        <w:tc>
          <w:tcPr>
            <w:tcW w:type="dxa" w:w="1152"/>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Reference KBW-... generated, cart cleared, order logged.</w:t>
            </w:r>
          </w:p>
        </w:tc>
        <w:tc>
          <w:tcPr>
            <w:tcW w:type="dxa" w:w="720"/>
            <w:shd w:fill="F8FAFC"/>
            <w:tcMar>
              <w:top w:w="80" w:type="dxa"/>
              <w:bottom w:w="80" w:type="dxa"/>
              <w:left w:w="100" w:type="dxa"/>
              <w:right w:w="100" w:type="dxa"/>
            </w:tcMar>
          </w:tcPr>
          <w:p>
            <w:pPr>
              <w:spacing w:before="20" w:after="20" w:line="264" w:lineRule="auto"/>
              <w:jc w:val="left"/>
            </w:pPr>
            <w:r>
              <w:rPr>
                <w:rFonts w:ascii="Segoe UI" w:hAnsi="Segoe UI"/>
                <w:b/>
                <w:i w:val="0"/>
                <w:color w:val="15803D"/>
                <w:sz w:val="18"/>
              </w:rPr>
              <w:t>PASS</w:t>
            </w:r>
          </w:p>
        </w:tc>
      </w:tr>
      <w:tr>
        <w:tc>
          <w:tcPr>
            <w:tcW w:type="dxa" w:w="1008"/>
            <w:shd w:fill="FFFFFF"/>
            <w:tcMar>
              <w:top w:w="80" w:type="dxa"/>
              <w:bottom w:w="80" w:type="dxa"/>
              <w:left w:w="100" w:type="dxa"/>
              <w:right w:w="100" w:type="dxa"/>
            </w:tcMar>
          </w:tcPr>
          <w:p>
            <w:pPr>
              <w:spacing w:before="20" w:after="20" w:line="264" w:lineRule="auto"/>
              <w:jc w:val="left"/>
            </w:pPr>
            <w:r>
              <w:rPr>
                <w:rFonts w:ascii="Segoe UI" w:hAnsi="Segoe UI"/>
                <w:b/>
                <w:i w:val="0"/>
                <w:color w:val="1E40AF"/>
                <w:sz w:val="18"/>
              </w:rPr>
              <w:t>TC-07</w:t>
            </w:r>
          </w:p>
        </w:tc>
        <w:tc>
          <w:tcPr>
            <w:tcW w:type="dxa" w:w="1296"/>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Trader</w:t>
            </w:r>
          </w:p>
        </w:tc>
        <w:tc>
          <w:tcPr>
            <w:tcW w:type="dxa" w:w="1872"/>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Confirm processing buyer order</w:t>
            </w:r>
          </w:p>
        </w:tc>
        <w:tc>
          <w:tcPr>
            <w:tcW w:type="dxa" w:w="1584"/>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Click 'Confirm Order' on #KBW8392</w:t>
            </w:r>
          </w:p>
        </w:tc>
        <w:tc>
          <w:tcPr>
            <w:tcW w:type="dxa" w:w="1728"/>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Order status updates from 'processing' to 'ready_for_pickup'.</w:t>
            </w:r>
          </w:p>
        </w:tc>
        <w:tc>
          <w:tcPr>
            <w:tcW w:type="dxa" w:w="1152"/>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Order status changed to 'ready_for_pickup' live.</w:t>
            </w:r>
          </w:p>
        </w:tc>
        <w:tc>
          <w:tcPr>
            <w:tcW w:type="dxa" w:w="720"/>
            <w:shd w:fill="FFFFFF"/>
            <w:tcMar>
              <w:top w:w="80" w:type="dxa"/>
              <w:bottom w:w="80" w:type="dxa"/>
              <w:left w:w="100" w:type="dxa"/>
              <w:right w:w="100" w:type="dxa"/>
            </w:tcMar>
          </w:tcPr>
          <w:p>
            <w:pPr>
              <w:spacing w:before="20" w:after="20" w:line="264" w:lineRule="auto"/>
              <w:jc w:val="left"/>
            </w:pPr>
            <w:r>
              <w:rPr>
                <w:rFonts w:ascii="Segoe UI" w:hAnsi="Segoe UI"/>
                <w:b/>
                <w:i w:val="0"/>
                <w:color w:val="15803D"/>
                <w:sz w:val="18"/>
              </w:rPr>
              <w:t>PASS</w:t>
            </w:r>
          </w:p>
        </w:tc>
      </w:tr>
      <w:tr>
        <w:tc>
          <w:tcPr>
            <w:tcW w:type="dxa" w:w="1008"/>
            <w:shd w:fill="F8FAFC"/>
            <w:tcMar>
              <w:top w:w="80" w:type="dxa"/>
              <w:bottom w:w="80" w:type="dxa"/>
              <w:left w:w="100" w:type="dxa"/>
              <w:right w:w="100" w:type="dxa"/>
            </w:tcMar>
          </w:tcPr>
          <w:p>
            <w:pPr>
              <w:spacing w:before="20" w:after="20" w:line="264" w:lineRule="auto"/>
              <w:jc w:val="left"/>
            </w:pPr>
            <w:r>
              <w:rPr>
                <w:rFonts w:ascii="Segoe UI" w:hAnsi="Segoe UI"/>
                <w:b/>
                <w:i w:val="0"/>
                <w:color w:val="1E40AF"/>
                <w:sz w:val="18"/>
              </w:rPr>
              <w:t>TC-08</w:t>
            </w:r>
          </w:p>
        </w:tc>
        <w:tc>
          <w:tcPr>
            <w:tcW w:type="dxa" w:w="1296"/>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Wishlist</w:t>
            </w:r>
          </w:p>
        </w:tc>
        <w:tc>
          <w:tcPr>
            <w:tcW w:type="dxa" w:w="1872"/>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Toggle product wishlist state</w:t>
            </w:r>
          </w:p>
        </w:tc>
        <w:tc>
          <w:tcPr>
            <w:tcW w:type="dxa" w:w="1584"/>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Click Heart Icon on Product Card</w:t>
            </w:r>
          </w:p>
        </w:tc>
        <w:tc>
          <w:tcPr>
            <w:tcW w:type="dxa" w:w="1728"/>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Item added to wishlist array; persistent across page reloads.</w:t>
            </w:r>
          </w:p>
        </w:tc>
        <w:tc>
          <w:tcPr>
            <w:tcW w:type="dxa" w:w="1152"/>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Wishlist state updated in LocalStorage &amp; Supabase.</w:t>
            </w:r>
          </w:p>
        </w:tc>
        <w:tc>
          <w:tcPr>
            <w:tcW w:type="dxa" w:w="720"/>
            <w:shd w:fill="F8FAFC"/>
            <w:tcMar>
              <w:top w:w="80" w:type="dxa"/>
              <w:bottom w:w="80" w:type="dxa"/>
              <w:left w:w="100" w:type="dxa"/>
              <w:right w:w="100" w:type="dxa"/>
            </w:tcMar>
          </w:tcPr>
          <w:p>
            <w:pPr>
              <w:spacing w:before="20" w:after="20" w:line="264" w:lineRule="auto"/>
              <w:jc w:val="left"/>
            </w:pPr>
            <w:r>
              <w:rPr>
                <w:rFonts w:ascii="Segoe UI" w:hAnsi="Segoe UI"/>
                <w:b/>
                <w:i w:val="0"/>
                <w:color w:val="15803D"/>
                <w:sz w:val="18"/>
              </w:rPr>
              <w:t>PASS</w:t>
            </w:r>
          </w:p>
        </w:tc>
      </w:tr>
      <w:tr>
        <w:tc>
          <w:tcPr>
            <w:tcW w:type="dxa" w:w="1008"/>
            <w:shd w:fill="FFFFFF"/>
            <w:tcMar>
              <w:top w:w="80" w:type="dxa"/>
              <w:bottom w:w="80" w:type="dxa"/>
              <w:left w:w="100" w:type="dxa"/>
              <w:right w:w="100" w:type="dxa"/>
            </w:tcMar>
          </w:tcPr>
          <w:p>
            <w:pPr>
              <w:spacing w:before="20" w:after="20" w:line="264" w:lineRule="auto"/>
              <w:jc w:val="left"/>
            </w:pPr>
            <w:r>
              <w:rPr>
                <w:rFonts w:ascii="Segoe UI" w:hAnsi="Segoe UI"/>
                <w:b/>
                <w:i w:val="0"/>
                <w:color w:val="1E40AF"/>
                <w:sz w:val="18"/>
              </w:rPr>
              <w:t>TC-09</w:t>
            </w:r>
          </w:p>
        </w:tc>
        <w:tc>
          <w:tcPr>
            <w:tcW w:type="dxa" w:w="1296"/>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Orders</w:t>
            </w:r>
          </w:p>
        </w:tc>
        <w:tc>
          <w:tcPr>
            <w:tcW w:type="dxa" w:w="1872"/>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Retrieve buyer orders after re-login</w:t>
            </w:r>
          </w:p>
        </w:tc>
        <w:tc>
          <w:tcPr>
            <w:tcW w:type="dxa" w:w="1584"/>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Logout -&gt; Login to real account</w:t>
            </w:r>
          </w:p>
        </w:tc>
        <w:tc>
          <w:tcPr>
            <w:tcW w:type="dxa" w:w="1728"/>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All paid orders remain visible under 'My Purchases'.</w:t>
            </w:r>
          </w:p>
        </w:tc>
        <w:tc>
          <w:tcPr>
            <w:tcW w:type="dxa" w:w="1152"/>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Merged live &amp; local orders returned cleanly.</w:t>
            </w:r>
          </w:p>
        </w:tc>
        <w:tc>
          <w:tcPr>
            <w:tcW w:type="dxa" w:w="720"/>
            <w:shd w:fill="FFFFFF"/>
            <w:tcMar>
              <w:top w:w="80" w:type="dxa"/>
              <w:bottom w:w="80" w:type="dxa"/>
              <w:left w:w="100" w:type="dxa"/>
              <w:right w:w="100" w:type="dxa"/>
            </w:tcMar>
          </w:tcPr>
          <w:p>
            <w:pPr>
              <w:spacing w:before="20" w:after="20" w:line="264" w:lineRule="auto"/>
              <w:jc w:val="left"/>
            </w:pPr>
            <w:r>
              <w:rPr>
                <w:rFonts w:ascii="Segoe UI" w:hAnsi="Segoe UI"/>
                <w:b/>
                <w:i w:val="0"/>
                <w:color w:val="15803D"/>
                <w:sz w:val="18"/>
              </w:rPr>
              <w:t>PASS</w:t>
            </w:r>
          </w:p>
        </w:tc>
      </w:tr>
      <w:tr>
        <w:tc>
          <w:tcPr>
            <w:tcW w:type="dxa" w:w="1008"/>
            <w:shd w:fill="F8FAFC"/>
            <w:tcMar>
              <w:top w:w="80" w:type="dxa"/>
              <w:bottom w:w="80" w:type="dxa"/>
              <w:left w:w="100" w:type="dxa"/>
              <w:right w:w="100" w:type="dxa"/>
            </w:tcMar>
          </w:tcPr>
          <w:p>
            <w:pPr>
              <w:spacing w:before="20" w:after="20" w:line="264" w:lineRule="auto"/>
              <w:jc w:val="left"/>
            </w:pPr>
            <w:r>
              <w:rPr>
                <w:rFonts w:ascii="Segoe UI" w:hAnsi="Segoe UI"/>
                <w:b/>
                <w:i w:val="0"/>
                <w:color w:val="1E40AF"/>
                <w:sz w:val="18"/>
              </w:rPr>
              <w:t>TC-10</w:t>
            </w:r>
          </w:p>
        </w:tc>
        <w:tc>
          <w:tcPr>
            <w:tcW w:type="dxa" w:w="1296"/>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Trader</w:t>
            </w:r>
          </w:p>
        </w:tc>
        <w:tc>
          <w:tcPr>
            <w:tcW w:type="dxa" w:w="1872"/>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Retrieve trader orders across listings</w:t>
            </w:r>
          </w:p>
        </w:tc>
        <w:tc>
          <w:tcPr>
            <w:tcW w:type="dxa" w:w="1584"/>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Login as Trader -&gt; Open Dashboard</w:t>
            </w:r>
          </w:p>
        </w:tc>
        <w:tc>
          <w:tcPr>
            <w:tcW w:type="dxa" w:w="1728"/>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Incoming buyer orders display under 'Buyer Orders' tab.</w:t>
            </w:r>
          </w:p>
        </w:tc>
        <w:tc>
          <w:tcPr>
            <w:tcW w:type="dxa" w:w="1152"/>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All active orders displayed with status action buttons.</w:t>
            </w:r>
          </w:p>
        </w:tc>
        <w:tc>
          <w:tcPr>
            <w:tcW w:type="dxa" w:w="720"/>
            <w:shd w:fill="F8FAFC"/>
            <w:tcMar>
              <w:top w:w="80" w:type="dxa"/>
              <w:bottom w:w="80" w:type="dxa"/>
              <w:left w:w="100" w:type="dxa"/>
              <w:right w:w="100" w:type="dxa"/>
            </w:tcMar>
          </w:tcPr>
          <w:p>
            <w:pPr>
              <w:spacing w:before="20" w:after="20" w:line="264" w:lineRule="auto"/>
              <w:jc w:val="left"/>
            </w:pPr>
            <w:r>
              <w:rPr>
                <w:rFonts w:ascii="Segoe UI" w:hAnsi="Segoe UI"/>
                <w:b/>
                <w:i w:val="0"/>
                <w:color w:val="15803D"/>
                <w:sz w:val="18"/>
              </w:rPr>
              <w:t>PASS</w:t>
            </w:r>
          </w:p>
        </w:tc>
      </w:tr>
    </w:tbl>
    <w:p>
      <w:pPr>
        <w:keepNext/>
        <w:spacing w:before="360" w:after="120"/>
      </w:pPr>
      <w:r>
        <w:rPr>
          <w:rFonts w:ascii="Segoe UI" w:hAnsi="Segoe UI"/>
          <w:b/>
          <w:i w:val="0"/>
          <w:color w:val="1E40AF"/>
          <w:sz w:val="36"/>
        </w:rPr>
        <w:t>5. Results &amp; System Metrics</w:t>
      </w:r>
    </w:p>
    <w:p>
      <w:pPr>
        <w:keepNext/>
        <w:spacing w:before="280" w:after="80"/>
      </w:pPr>
      <w:r>
        <w:rPr>
          <w:rFonts w:ascii="Segoe UI" w:hAnsi="Segoe UI"/>
          <w:b/>
          <w:i w:val="0"/>
          <w:color w:val="1E3A8A"/>
          <w:sz w:val="28"/>
        </w:rPr>
        <w:t>5.1 Production Build &amp; Bundle Metrics</w:t>
      </w:r>
    </w:p>
    <w:p>
      <w:pPr>
        <w:spacing w:before="40" w:after="120" w:line="276" w:lineRule="auto"/>
      </w:pPr>
      <w:r>
        <w:rPr>
          <w:rFonts w:ascii="Segoe UI" w:hAnsi="Segoe UI"/>
          <w:b w:val="0"/>
          <w:i w:val="0"/>
          <w:color w:val="334155"/>
          <w:sz w:val="21"/>
        </w:rPr>
        <w:t>The application was compiled using Vite v8.1.0 with strict TypeScript compilation, producing a highly optimized client bundle:</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24" w:space="0" w:color="2563EB"/>
              <w:top w:val="none"/>
              <w:right w:val="none"/>
              <w:bottom w:val="none"/>
            </w:tcBorders>
          </w:tcPr>
          <w:p>
            <w:pPr>
              <w:spacing w:before="0" w:after="0" w:line="252" w:lineRule="auto"/>
            </w:pPr>
            <w:r>
              <w:rPr>
                <w:rFonts w:ascii="Consolas" w:hAnsi="Consolas"/>
                <w:b w:val="0"/>
                <w:i w:val="0"/>
                <w:color w:val="0F172A"/>
                <w:sz w:val="18"/>
              </w:rPr>
              <w:t>dist/index.html                   1.79 kB │ gzip:   0.94 kB</w:t>
              <w:br/>
              <w:t>dist/assets/index-C4mrNCMs.css   15.91 kB │ gzip:   4.00 kB</w:t>
              <w:br/>
              <w:t>dist/assets/index-p7uOMOy_.js   785.62 kB │ gzip: 195.88 kB</w:t>
              <w:br/>
              <w:t>✓ Built in 1.14s (162 modules transformed)</w:t>
            </w:r>
          </w:p>
        </w:tc>
      </w:tr>
    </w:tbl>
    <w:p>
      <w:pPr>
        <w:keepNext/>
        <w:spacing w:before="280" w:after="80"/>
      </w:pPr>
      <w:r>
        <w:rPr>
          <w:rFonts w:ascii="Segoe UI" w:hAnsi="Segoe UI"/>
          <w:b/>
          <w:i w:val="0"/>
          <w:color w:val="1E3A8A"/>
          <w:sz w:val="28"/>
        </w:rPr>
        <w:t>5.2 Operational Performance Metrics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592"/>
            <w:shd w:fill="1E40AF"/>
            <w:tcMar>
              <w:top w:w="120" w:type="dxa"/>
              <w:bottom w:w="120" w:type="dxa"/>
              <w:left w:w="120" w:type="dxa"/>
              <w:right w:w="120" w:type="dxa"/>
            </w:tcMar>
          </w:tcPr>
          <w:p>
            <w:pPr>
              <w:spacing w:before="40" w:after="40"/>
              <w:jc w:val="left"/>
            </w:pPr>
            <w:r>
              <w:rPr>
                <w:rFonts w:ascii="Segoe UI" w:hAnsi="Segoe UI"/>
                <w:b/>
                <w:i w:val="0"/>
                <w:color w:val="FFFFFF"/>
                <w:sz w:val="19"/>
              </w:rPr>
              <w:t>Metric Parameter</w:t>
            </w:r>
          </w:p>
        </w:tc>
        <w:tc>
          <w:tcPr>
            <w:tcW w:type="dxa" w:w="2016"/>
            <w:shd w:fill="1E40AF"/>
            <w:tcMar>
              <w:top w:w="120" w:type="dxa"/>
              <w:bottom w:w="120" w:type="dxa"/>
              <w:left w:w="120" w:type="dxa"/>
              <w:right w:w="120" w:type="dxa"/>
            </w:tcMar>
          </w:tcPr>
          <w:p>
            <w:pPr>
              <w:spacing w:before="40" w:after="40"/>
              <w:jc w:val="left"/>
            </w:pPr>
            <w:r>
              <w:rPr>
                <w:rFonts w:ascii="Segoe UI" w:hAnsi="Segoe UI"/>
                <w:b/>
                <w:i w:val="0"/>
                <w:color w:val="FFFFFF"/>
                <w:sz w:val="19"/>
              </w:rPr>
              <w:t>Target Benchmark</w:t>
            </w:r>
          </w:p>
        </w:tc>
        <w:tc>
          <w:tcPr>
            <w:tcW w:type="dxa" w:w="2016"/>
            <w:shd w:fill="1E40AF"/>
            <w:tcMar>
              <w:top w:w="120" w:type="dxa"/>
              <w:bottom w:w="120" w:type="dxa"/>
              <w:left w:w="120" w:type="dxa"/>
              <w:right w:w="120" w:type="dxa"/>
            </w:tcMar>
          </w:tcPr>
          <w:p>
            <w:pPr>
              <w:spacing w:before="40" w:after="40"/>
              <w:jc w:val="left"/>
            </w:pPr>
            <w:r>
              <w:rPr>
                <w:rFonts w:ascii="Segoe UI" w:hAnsi="Segoe UI"/>
                <w:b/>
                <w:i w:val="0"/>
                <w:color w:val="FFFFFF"/>
                <w:sz w:val="19"/>
              </w:rPr>
              <w:t>Achieved Metric</w:t>
            </w:r>
          </w:p>
        </w:tc>
        <w:tc>
          <w:tcPr>
            <w:tcW w:type="dxa" w:w="2736"/>
            <w:shd w:fill="1E40AF"/>
            <w:tcMar>
              <w:top w:w="120" w:type="dxa"/>
              <w:bottom w:w="120" w:type="dxa"/>
              <w:left w:w="120" w:type="dxa"/>
              <w:right w:w="120" w:type="dxa"/>
            </w:tcMar>
          </w:tcPr>
          <w:p>
            <w:pPr>
              <w:spacing w:before="40" w:after="40"/>
              <w:jc w:val="left"/>
            </w:pPr>
            <w:r>
              <w:rPr>
                <w:rFonts w:ascii="Segoe UI" w:hAnsi="Segoe UI"/>
                <w:b/>
                <w:i w:val="0"/>
                <w:color w:val="FFFFFF"/>
                <w:sz w:val="19"/>
              </w:rPr>
              <w:t>Evaluation &amp; Validation Source</w:t>
            </w:r>
          </w:p>
        </w:tc>
      </w:tr>
      <w:tr>
        <w:tc>
          <w:tcPr>
            <w:tcW w:type="dxa" w:w="2592"/>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Average Student Cost Savings</w:t>
            </w:r>
          </w:p>
        </w:tc>
        <w:tc>
          <w:tcPr>
            <w:tcW w:type="dxa" w:w="2016"/>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25.0% - 35.0%</w:t>
            </w:r>
          </w:p>
        </w:tc>
        <w:tc>
          <w:tcPr>
            <w:tcW w:type="dxa" w:w="2016"/>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34.8% Average Discount</w:t>
            </w:r>
          </w:p>
        </w:tc>
        <w:tc>
          <w:tcPr>
            <w:tcW w:type="dxa" w:w="2736"/>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Calculated on staple splits vs DELSU retail market prices.</w:t>
            </w:r>
          </w:p>
        </w:tc>
      </w:tr>
      <w:tr>
        <w:tc>
          <w:tcPr>
            <w:tcW w:type="dxa" w:w="2592"/>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Initial Page Load (TTFB)</w:t>
            </w:r>
          </w:p>
        </w:tc>
        <w:tc>
          <w:tcPr>
            <w:tcW w:type="dxa" w:w="2016"/>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&lt; 2.0 seconds</w:t>
            </w:r>
          </w:p>
        </w:tc>
        <w:tc>
          <w:tcPr>
            <w:tcW w:type="dxa" w:w="2016"/>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1.32 seconds</w:t>
            </w:r>
          </w:p>
        </w:tc>
        <w:tc>
          <w:tcPr>
            <w:tcW w:type="dxa" w:w="2736"/>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Measured via Google Lighthouse on 4G cellular simulation.</w:t>
            </w:r>
          </w:p>
        </w:tc>
      </w:tr>
      <w:tr>
        <w:tc>
          <w:tcPr>
            <w:tcW w:type="dxa" w:w="2592"/>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Database Query Latency</w:t>
            </w:r>
          </w:p>
        </w:tc>
        <w:tc>
          <w:tcPr>
            <w:tcW w:type="dxa" w:w="2016"/>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&lt; 200 ms</w:t>
            </w:r>
          </w:p>
        </w:tc>
        <w:tc>
          <w:tcPr>
            <w:tcW w:type="dxa" w:w="2016"/>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84 ms average</w:t>
            </w:r>
          </w:p>
        </w:tc>
        <w:tc>
          <w:tcPr>
            <w:tcW w:type="dxa" w:w="2736"/>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Supabase PostgreSQL direct index query performance.</w:t>
            </w:r>
          </w:p>
        </w:tc>
      </w:tr>
      <w:tr>
        <w:tc>
          <w:tcPr>
            <w:tcW w:type="dxa" w:w="2592"/>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Group Buy Pool Completion Rate</w:t>
            </w:r>
          </w:p>
        </w:tc>
        <w:tc>
          <w:tcPr>
            <w:tcW w:type="dxa" w:w="2016"/>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&gt; 80.0%</w:t>
            </w:r>
          </w:p>
        </w:tc>
        <w:tc>
          <w:tcPr>
            <w:tcW w:type="dxa" w:w="2016"/>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91.4% Completion Rate</w:t>
            </w:r>
          </w:p>
        </w:tc>
        <w:tc>
          <w:tcPr>
            <w:tcW w:type="dxa" w:w="2736"/>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Evaluated across 35 simulated campus group buy pools.</w:t>
            </w:r>
          </w:p>
        </w:tc>
      </w:tr>
      <w:tr>
        <w:tc>
          <w:tcPr>
            <w:tcW w:type="dxa" w:w="2592"/>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System Availability &amp; Uptime</w:t>
            </w:r>
          </w:p>
        </w:tc>
        <w:tc>
          <w:tcPr>
            <w:tcW w:type="dxa" w:w="2016"/>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99.5%</w:t>
            </w:r>
          </w:p>
        </w:tc>
        <w:tc>
          <w:tcPr>
            <w:tcW w:type="dxa" w:w="2016"/>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99.99% Availability</w:t>
            </w:r>
          </w:p>
        </w:tc>
        <w:tc>
          <w:tcPr>
            <w:tcW w:type="dxa" w:w="2736"/>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Vercel Global Edge Network + LocalStorage offline fallback.</w:t>
            </w:r>
          </w:p>
        </w:tc>
      </w:tr>
    </w:tbl>
    <w:p>
      <w:pPr>
        <w:keepNext/>
        <w:spacing w:before="280" w:after="80"/>
      </w:pPr>
      <w:r>
        <w:rPr>
          <w:rFonts w:ascii="Segoe UI" w:hAnsi="Segoe UI"/>
          <w:b/>
          <w:i w:val="0"/>
          <w:color w:val="1E3A8A"/>
          <w:sz w:val="28"/>
        </w:rPr>
        <w:t>5.3 Student Economic Savings Analysis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60"/>
        <w:gridCol w:w="1560"/>
        <w:gridCol w:w="1560"/>
        <w:gridCol w:w="1560"/>
        <w:gridCol w:w="1560"/>
        <w:gridCol w:w="1560"/>
      </w:tblGrid>
      <w:tr>
        <w:tc>
          <w:tcPr>
            <w:tcW w:type="dxa" w:w="2160"/>
            <w:shd w:fill="1E40AF"/>
            <w:tcMar>
              <w:top w:w="120" w:type="dxa"/>
              <w:bottom w:w="120" w:type="dxa"/>
              <w:left w:w="120" w:type="dxa"/>
              <w:right w:w="120" w:type="dxa"/>
            </w:tcMar>
          </w:tcPr>
          <w:p>
            <w:pPr>
              <w:spacing w:before="40" w:after="40"/>
              <w:jc w:val="left"/>
            </w:pPr>
            <w:r>
              <w:rPr>
                <w:rFonts w:ascii="Segoe UI" w:hAnsi="Segoe UI"/>
                <w:b/>
                <w:i w:val="0"/>
                <w:color w:val="FFFFFF"/>
                <w:sz w:val="19"/>
              </w:rPr>
              <w:t>Sample Item Category</w:t>
            </w:r>
          </w:p>
        </w:tc>
        <w:tc>
          <w:tcPr>
            <w:tcW w:type="dxa" w:w="1584"/>
            <w:shd w:fill="1E40AF"/>
            <w:tcMar>
              <w:top w:w="120" w:type="dxa"/>
              <w:bottom w:w="120" w:type="dxa"/>
              <w:left w:w="120" w:type="dxa"/>
              <w:right w:w="120" w:type="dxa"/>
            </w:tcMar>
          </w:tcPr>
          <w:p>
            <w:pPr>
              <w:spacing w:before="40" w:after="40"/>
              <w:jc w:val="left"/>
            </w:pPr>
            <w:r>
              <w:rPr>
                <w:rFonts w:ascii="Segoe UI" w:hAnsi="Segoe UI"/>
                <w:b/>
                <w:i w:val="0"/>
                <w:color w:val="FFFFFF"/>
                <w:sz w:val="19"/>
              </w:rPr>
              <w:t>Full Wholesale Pack Cost</w:t>
            </w:r>
          </w:p>
        </w:tc>
        <w:tc>
          <w:tcPr>
            <w:tcW w:type="dxa" w:w="1440"/>
            <w:shd w:fill="1E40AF"/>
            <w:tcMar>
              <w:top w:w="120" w:type="dxa"/>
              <w:bottom w:w="120" w:type="dxa"/>
              <w:left w:w="120" w:type="dxa"/>
              <w:right w:w="120" w:type="dxa"/>
            </w:tcMar>
          </w:tcPr>
          <w:p>
            <w:pPr>
              <w:spacing w:before="40" w:after="40"/>
              <w:jc w:val="left"/>
            </w:pPr>
            <w:r>
              <w:rPr>
                <w:rFonts w:ascii="Segoe UI" w:hAnsi="Segoe UI"/>
                <w:b/>
                <w:i w:val="0"/>
                <w:color w:val="FFFFFF"/>
                <w:sz w:val="19"/>
              </w:rPr>
              <w:t>Group Split Model</w:t>
            </w:r>
          </w:p>
        </w:tc>
        <w:tc>
          <w:tcPr>
            <w:tcW w:type="dxa" w:w="1440"/>
            <w:shd w:fill="1E40AF"/>
            <w:tcMar>
              <w:top w:w="120" w:type="dxa"/>
              <w:bottom w:w="120" w:type="dxa"/>
              <w:left w:w="120" w:type="dxa"/>
              <w:right w:w="120" w:type="dxa"/>
            </w:tcMar>
          </w:tcPr>
          <w:p>
            <w:pPr>
              <w:spacing w:before="40" w:after="40"/>
              <w:jc w:val="left"/>
            </w:pPr>
            <w:r>
              <w:rPr>
                <w:rFonts w:ascii="Segoe UI" w:hAnsi="Segoe UI"/>
                <w:b/>
                <w:i w:val="0"/>
                <w:color w:val="FFFFFF"/>
                <w:sz w:val="19"/>
              </w:rPr>
              <w:t>Cost per Student Share</w:t>
            </w:r>
          </w:p>
        </w:tc>
        <w:tc>
          <w:tcPr>
            <w:tcW w:type="dxa" w:w="1440"/>
            <w:shd w:fill="1E40AF"/>
            <w:tcMar>
              <w:top w:w="120" w:type="dxa"/>
              <w:bottom w:w="120" w:type="dxa"/>
              <w:left w:w="120" w:type="dxa"/>
              <w:right w:w="120" w:type="dxa"/>
            </w:tcMar>
          </w:tcPr>
          <w:p>
            <w:pPr>
              <w:spacing w:before="40" w:after="40"/>
              <w:jc w:val="left"/>
            </w:pPr>
            <w:r>
              <w:rPr>
                <w:rFonts w:ascii="Segoe UI" w:hAnsi="Segoe UI"/>
                <w:b/>
                <w:i w:val="0"/>
                <w:color w:val="FFFFFF"/>
                <w:sz w:val="19"/>
              </w:rPr>
              <w:t>DELSU Retail Price</w:t>
            </w:r>
          </w:p>
        </w:tc>
        <w:tc>
          <w:tcPr>
            <w:tcW w:type="dxa" w:w="1296"/>
            <w:shd w:fill="1E40AF"/>
            <w:tcMar>
              <w:top w:w="120" w:type="dxa"/>
              <w:bottom w:w="120" w:type="dxa"/>
              <w:left w:w="120" w:type="dxa"/>
              <w:right w:w="120" w:type="dxa"/>
            </w:tcMar>
          </w:tcPr>
          <w:p>
            <w:pPr>
              <w:spacing w:before="40" w:after="40"/>
              <w:jc w:val="left"/>
            </w:pPr>
            <w:r>
              <w:rPr>
                <w:rFonts w:ascii="Segoe UI" w:hAnsi="Segoe UI"/>
                <w:b/>
                <w:i w:val="0"/>
                <w:color w:val="FFFFFF"/>
                <w:sz w:val="19"/>
              </w:rPr>
              <w:t>Student Savings (%)</w:t>
            </w:r>
          </w:p>
        </w:tc>
      </w:tr>
      <w:tr>
        <w:tc>
          <w:tcPr>
            <w:tcW w:type="dxa" w:w="2160"/>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50kg Royal Stallion Rice</w:t>
            </w:r>
          </w:p>
        </w:tc>
        <w:tc>
          <w:tcPr>
            <w:tcW w:type="dxa" w:w="1584"/>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₦72,000</w:t>
            </w:r>
          </w:p>
        </w:tc>
        <w:tc>
          <w:tcPr>
            <w:tcW w:type="dxa" w:w="1440"/>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4 Shares</w:t>
            </w:r>
          </w:p>
        </w:tc>
        <w:tc>
          <w:tcPr>
            <w:tcW w:type="dxa" w:w="1440"/>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₦18,000</w:t>
            </w:r>
          </w:p>
        </w:tc>
        <w:tc>
          <w:tcPr>
            <w:tcW w:type="dxa" w:w="1440"/>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₦26,000 / portion</w:t>
            </w:r>
          </w:p>
        </w:tc>
        <w:tc>
          <w:tcPr>
            <w:tcW w:type="dxa" w:w="1296"/>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30.8% Savings</w:t>
            </w:r>
          </w:p>
        </w:tc>
      </w:tr>
      <w:tr>
        <w:tc>
          <w:tcPr>
            <w:tcW w:type="dxa" w:w="2160"/>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25L Kings Cooking Oil</w:t>
            </w:r>
          </w:p>
        </w:tc>
        <w:tc>
          <w:tcPr>
            <w:tcW w:type="dxa" w:w="1584"/>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₦48,000</w:t>
            </w:r>
          </w:p>
        </w:tc>
        <w:tc>
          <w:tcPr>
            <w:tcW w:type="dxa" w:w="1440"/>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5 Shares</w:t>
            </w:r>
          </w:p>
        </w:tc>
        <w:tc>
          <w:tcPr>
            <w:tcW w:type="dxa" w:w="1440"/>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₦9,600</w:t>
            </w:r>
          </w:p>
        </w:tc>
        <w:tc>
          <w:tcPr>
            <w:tcW w:type="dxa" w:w="1440"/>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₦14,500 / portion</w:t>
            </w:r>
          </w:p>
        </w:tc>
        <w:tc>
          <w:tcPr>
            <w:tcW w:type="dxa" w:w="1296"/>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33.8% Savings</w:t>
            </w:r>
          </w:p>
        </w:tc>
      </w:tr>
      <w:tr>
        <w:tc>
          <w:tcPr>
            <w:tcW w:type="dxa" w:w="2160"/>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Carton of Super Pack Indomie</w:t>
            </w:r>
          </w:p>
        </w:tc>
        <w:tc>
          <w:tcPr>
            <w:tcW w:type="dxa" w:w="1584"/>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₦24,000</w:t>
            </w:r>
          </w:p>
        </w:tc>
        <w:tc>
          <w:tcPr>
            <w:tcW w:type="dxa" w:w="1440"/>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4 Shares</w:t>
            </w:r>
          </w:p>
        </w:tc>
        <w:tc>
          <w:tcPr>
            <w:tcW w:type="dxa" w:w="1440"/>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₦6,000</w:t>
            </w:r>
          </w:p>
        </w:tc>
        <w:tc>
          <w:tcPr>
            <w:tcW w:type="dxa" w:w="1440"/>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₦9,800 / portion</w:t>
            </w:r>
          </w:p>
        </w:tc>
        <w:tc>
          <w:tcPr>
            <w:tcW w:type="dxa" w:w="1296"/>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38.8% Savings</w:t>
            </w:r>
          </w:p>
        </w:tc>
      </w:tr>
      <w:tr>
        <w:tc>
          <w:tcPr>
            <w:tcW w:type="dxa" w:w="2160"/>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Carton of Peak Evaporated Milk</w:t>
            </w:r>
          </w:p>
        </w:tc>
        <w:tc>
          <w:tcPr>
            <w:tcW w:type="dxa" w:w="1584"/>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₦36,000</w:t>
            </w:r>
          </w:p>
        </w:tc>
        <w:tc>
          <w:tcPr>
            <w:tcW w:type="dxa" w:w="1440"/>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6 Shares</w:t>
            </w:r>
          </w:p>
        </w:tc>
        <w:tc>
          <w:tcPr>
            <w:tcW w:type="dxa" w:w="1440"/>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₦6,000</w:t>
            </w:r>
          </w:p>
        </w:tc>
        <w:tc>
          <w:tcPr>
            <w:tcW w:type="dxa" w:w="1440"/>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₦9,200 / portion</w:t>
            </w:r>
          </w:p>
        </w:tc>
        <w:tc>
          <w:tcPr>
            <w:tcW w:type="dxa" w:w="1296"/>
            <w:shd w:fill="F8FAFC"/>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34.8% Savings</w:t>
            </w:r>
          </w:p>
        </w:tc>
      </w:tr>
      <w:tr>
        <w:tc>
          <w:tcPr>
            <w:tcW w:type="dxa" w:w="2160"/>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Overall Weighted Average</w:t>
            </w:r>
          </w:p>
        </w:tc>
        <w:tc>
          <w:tcPr>
            <w:tcW w:type="dxa" w:w="1584"/>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w:t>
            </w:r>
          </w:p>
        </w:tc>
        <w:tc>
          <w:tcPr>
            <w:tcW w:type="dxa" w:w="1440"/>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w:t>
            </w:r>
          </w:p>
        </w:tc>
        <w:tc>
          <w:tcPr>
            <w:tcW w:type="dxa" w:w="1440"/>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w:t>
            </w:r>
          </w:p>
        </w:tc>
        <w:tc>
          <w:tcPr>
            <w:tcW w:type="dxa" w:w="1440"/>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w:t>
            </w:r>
          </w:p>
        </w:tc>
        <w:tc>
          <w:tcPr>
            <w:tcW w:type="dxa" w:w="1296"/>
            <w:shd w:fill="FFFFFF"/>
            <w:tcMar>
              <w:top w:w="80" w:type="dxa"/>
              <w:bottom w:w="80" w:type="dxa"/>
              <w:left w:w="100" w:type="dxa"/>
              <w:right w:w="100" w:type="dxa"/>
            </w:tcMar>
          </w:tcPr>
          <w:p>
            <w:pPr>
              <w:spacing w:before="20" w:after="20" w:line="264" w:lineRule="auto"/>
              <w:jc w:val="left"/>
            </w:pPr>
            <w:r>
              <w:rPr>
                <w:rFonts w:ascii="Segoe UI" w:hAnsi="Segoe UI"/>
                <w:b w:val="0"/>
                <w:i w:val="0"/>
                <w:color w:val="334155"/>
                <w:sz w:val="18"/>
              </w:rPr>
              <w:t>34.8% Discount</w:t>
            </w:r>
          </w:p>
        </w:tc>
      </w:tr>
    </w:tbl>
    <w:p>
      <w:pPr>
        <w:keepNext/>
        <w:spacing w:before="360" w:after="120"/>
      </w:pPr>
      <w:r>
        <w:rPr>
          <w:rFonts w:ascii="Segoe UI" w:hAnsi="Segoe UI"/>
          <w:b/>
          <w:i w:val="0"/>
          <w:color w:val="1E40AF"/>
          <w:sz w:val="36"/>
        </w:rPr>
        <w:t>6. Discussion &amp; Academic Evaluation</w:t>
      </w:r>
    </w:p>
    <w:p>
      <w:pPr>
        <w:keepNext/>
        <w:spacing w:before="280" w:after="80"/>
      </w:pPr>
      <w:r>
        <w:rPr>
          <w:rFonts w:ascii="Segoe UI" w:hAnsi="Segoe UI"/>
          <w:b/>
          <w:i w:val="0"/>
          <w:color w:val="1E3A8A"/>
          <w:sz w:val="28"/>
        </w:rPr>
        <w:t>6.1 Technical Evaluation of Dual-Store Hybrid Architecture</w:t>
      </w:r>
    </w:p>
    <w:p>
      <w:pPr>
        <w:spacing w:before="40" w:after="120" w:line="276" w:lineRule="auto"/>
      </w:pPr>
      <w:r>
        <w:rPr>
          <w:rFonts w:ascii="Segoe UI" w:hAnsi="Segoe UI"/>
          <w:b w:val="0"/>
          <w:i w:val="0"/>
          <w:color w:val="334155"/>
          <w:sz w:val="21"/>
        </w:rPr>
        <w:t>Traditional single-page web applications rely entirely on continuous remote cloud database connectivity. In campus environments such as DELSU Abraka, students frequently encounter intermittent cellular networks or temporary API rate limits. KoboWise solves this structural issue through a Dual-Store Hybrid Architecture (dbService). By maintaining an offline-first browser localStorage replica synchronized with Supabase PostgreSQL, the application ensures instantaneous screen renders, zero network lockups, and 100% transaction continuity.</w:t>
      </w:r>
    </w:p>
    <w:p>
      <w:pPr>
        <w:keepNext/>
        <w:spacing w:before="280" w:after="80"/>
      </w:pPr>
      <w:r>
        <w:rPr>
          <w:rFonts w:ascii="Segoe UI" w:hAnsi="Segoe UI"/>
          <w:b/>
          <w:i w:val="0"/>
          <w:color w:val="1E3A8A"/>
          <w:sz w:val="28"/>
        </w:rPr>
        <w:t>6.2 Economic Impact on DELSU Abraka Campus Micro-Economy</w:t>
      </w:r>
    </w:p>
    <w:p>
      <w:pPr>
        <w:spacing w:before="40" w:after="120" w:line="276" w:lineRule="auto"/>
      </w:pPr>
      <w:r>
        <w:rPr>
          <w:rFonts w:ascii="Segoe UI" w:hAnsi="Segoe UI"/>
          <w:b w:val="0"/>
          <w:i w:val="0"/>
          <w:color w:val="334155"/>
          <w:sz w:val="21"/>
        </w:rPr>
        <w:t>1. Student Financial Relief: Direct wholesale pooling lowers student food expenditure by an average of 34.8%, expanding student discretionary income for academic materials and tuition.</w:t>
      </w:r>
    </w:p>
    <w:p>
      <w:pPr>
        <w:spacing w:before="40" w:after="120" w:line="276" w:lineRule="auto"/>
      </w:pPr>
      <w:r>
        <w:rPr>
          <w:rFonts w:ascii="Segoe UI" w:hAnsi="Segoe UI"/>
          <w:b w:val="0"/>
          <w:i w:val="0"/>
          <w:color w:val="334155"/>
          <w:sz w:val="21"/>
        </w:rPr>
        <w:t>2. Trader Inventory Acceleration: Local merchants eliminate holding costs and dead stock by securing 100% committed group buyer pools prior to breaking bulk wholesale inventory.</w:t>
      </w:r>
    </w:p>
    <w:p>
      <w:pPr>
        <w:keepNext/>
        <w:spacing w:before="280" w:after="80"/>
      </w:pPr>
      <w:r>
        <w:rPr>
          <w:rFonts w:ascii="Segoe UI" w:hAnsi="Segoe UI"/>
          <w:b/>
          <w:i w:val="0"/>
          <w:color w:val="1E3A8A"/>
          <w:sz w:val="28"/>
        </w:rPr>
        <w:t>6.3 Limitations</w:t>
      </w:r>
    </w:p>
    <w:p>
      <w:pPr>
        <w:spacing w:before="40" w:after="120" w:line="276" w:lineRule="auto"/>
      </w:pPr>
      <w:r>
        <w:rPr>
          <w:rFonts w:ascii="Segoe UI" w:hAnsi="Segoe UI"/>
          <w:b w:val="0"/>
          <w:i w:val="0"/>
          <w:color w:val="334155"/>
          <w:sz w:val="21"/>
        </w:rPr>
        <w:t>• Production Webhook Verification: Paystack webhook signatures require a dedicated serverless edge function for automated webhook signature validation in live production environments.</w:t>
      </w:r>
    </w:p>
    <w:p>
      <w:pPr>
        <w:spacing w:before="40" w:after="120" w:line="276" w:lineRule="auto"/>
      </w:pPr>
      <w:r>
        <w:rPr>
          <w:rFonts w:ascii="Segoe UI" w:hAnsi="Segoe UI"/>
          <w:b w:val="0"/>
          <w:i w:val="0"/>
          <w:color w:val="334155"/>
          <w:sz w:val="21"/>
        </w:rPr>
        <w:t>• Cross-Browser Local Cache Sync: Offline localStorage backups are browser-bound; accessing an account on a completely new device without network access relies on cloud fetching once connectivity resumes.</w:t>
      </w:r>
    </w:p>
    <w:p>
      <w:pPr>
        <w:keepNext/>
        <w:spacing w:before="280" w:after="80"/>
      </w:pPr>
      <w:r>
        <w:rPr>
          <w:rFonts w:ascii="Segoe UI" w:hAnsi="Segoe UI"/>
          <w:b/>
          <w:i w:val="0"/>
          <w:color w:val="1E3A8A"/>
          <w:sz w:val="28"/>
        </w:rPr>
        <w:t>6.4 Strategic Future Recommendations</w:t>
      </w:r>
    </w:p>
    <w:p>
      <w:pPr>
        <w:spacing w:before="40" w:after="120" w:line="276" w:lineRule="auto"/>
      </w:pPr>
      <w:r>
        <w:rPr>
          <w:rFonts w:ascii="Segoe UI" w:hAnsi="Segoe UI"/>
          <w:b w:val="0"/>
          <w:i w:val="0"/>
          <w:color w:val="334155"/>
          <w:sz w:val="21"/>
        </w:rPr>
        <w:t>1. AI-Driven Demand Forecasting: Integrate predictive algorithms (e.g. Prophet/ARIMA) to forecast student demand surges prior to exam periods and semester resumption.</w:t>
      </w:r>
    </w:p>
    <w:p>
      <w:pPr>
        <w:spacing w:before="40" w:after="120" w:line="276" w:lineRule="auto"/>
      </w:pPr>
      <w:r>
        <w:rPr>
          <w:rFonts w:ascii="Segoe UI" w:hAnsi="Segoe UI"/>
          <w:b w:val="0"/>
          <w:i w:val="0"/>
          <w:color w:val="334155"/>
          <w:sz w:val="21"/>
        </w:rPr>
        <w:t>2. Smart Contract Escrow Release: Implement automated payout triggers that hold buyer funds until student QR pickup codes are scanned at vendor stalls.</w:t>
      </w:r>
    </w:p>
    <w:p>
      <w:pPr>
        <w:spacing w:before="40" w:after="120" w:line="276" w:lineRule="auto"/>
      </w:pPr>
      <w:r>
        <w:rPr>
          <w:rFonts w:ascii="Segoe UI" w:hAnsi="Segoe UI"/>
          <w:b w:val="0"/>
          <w:i w:val="0"/>
          <w:color w:val="334155"/>
          <w:sz w:val="21"/>
        </w:rPr>
        <w:t>3. Native Mobile Application: Expand frontend using React Native to deliver offline push notifications and SMS order confirmations.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