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rFonts w:ascii="Calibri" w:cs="Calibri" w:eastAsia="Calibri" w:hAnsi="Calibri"/>
          <w:b/>
          <w:bCs/>
          <w:color w:val="1F4E79"/>
          <w:sz w:val="52"/>
          <w:szCs w:val="52"/>
        </w:rPr>
        <w:t xml:space="preserve">Holiday Rental Management System</w:t>
      </w:r>
    </w:p>
    <w:p>
      <w:pPr>
        <w:spacing w:after="400"/>
        <w:jc w:val="center"/>
      </w:pPr>
      <w:r>
        <w:rPr>
          <w:rFonts w:ascii="Calibri" w:cs="Calibri" w:eastAsia="Calibri" w:hAnsi="Calibri"/>
          <w:color w:val="595959"/>
          <w:sz w:val="30"/>
          <w:szCs w:val="30"/>
        </w:rPr>
        <w:t xml:space="preserve">Functional &amp; Technical Specification</w:t>
      </w:r>
    </w:p>
    <w:p>
      <w:pPr>
        <w:spacing w:after="80"/>
        <w:jc w:val="center"/>
      </w:pPr>
      <w:r>
        <w:rPr>
          <w:rFonts w:ascii="Calibri" w:cs="Calibri" w:eastAsia="Calibri" w:hAnsi="Calibri"/>
          <w:i/>
          <w:iCs/>
          <w:color w:val="595959"/>
          <w:sz w:val="22"/>
          <w:szCs w:val="22"/>
        </w:rPr>
        <w:t xml:space="preserve">Short-term holiday lets · Dubai, UAE · Owner-operated portfolio (1–20 units)</w:t>
      </w:r>
    </w:p>
    <w:p>
      <w:pPr>
        <w:spacing w:after="1400"/>
      </w:pPr>
    </w:p>
    <w:p>
      <w:pPr>
        <w:jc w:val="center"/>
      </w:pPr>
      <w:r>
        <w:rPr>
          <w:rFonts w:ascii="Calibri" w:cs="Calibri" w:eastAsia="Calibri" w:hAnsi="Calibri"/>
          <w:color w:val="808080"/>
          <w:sz w:val="20"/>
          <w:szCs w:val="20"/>
        </w:rPr>
        <w:t xml:space="preserve">Version 1.0  ·  Draft for review  ·  31 July 2026</w:t>
      </w:r>
    </w:p>
    <w:p>
      <w:r>
        <w:br w:type="page"/>
      </w:r>
    </w:p>
    <w:p>
      <w:pPr>
        <w:pStyle w:val="Heading1"/>
        <w:spacing w:after="160" w:before="320"/>
      </w:pPr>
      <w:r>
        <w:rPr>
          <w:rFonts w:ascii="Calibri" w:cs="Calibri" w:eastAsia="Calibri" w:hAnsi="Calibri"/>
          <w:b/>
          <w:bCs/>
          <w:color w:val="1F4E79"/>
          <w:sz w:val="30"/>
          <w:szCs w:val="30"/>
        </w:rPr>
        <w:t xml:space="preserve">Contents</w:t>
      </w:r>
    </w:p>
    <w:p>
      <w:pPr>
        <w:spacing w:after="80" w:before="100"/>
        <w:ind w:left="200"/>
      </w:pPr>
      <w:r>
        <w:rPr>
          <w:rFonts w:ascii="Calibri" w:cs="Calibri" w:eastAsia="Calibri" w:hAnsi="Calibri"/>
          <w:b/>
          <w:bCs/>
          <w:color w:val="1F4E79"/>
          <w:sz w:val="21"/>
          <w:szCs w:val="21"/>
        </w:rPr>
        <w:t xml:space="preserve">1.  </w:t>
      </w:r>
      <w:r>
        <w:rPr>
          <w:rFonts w:ascii="Calibri" w:cs="Calibri" w:eastAsia="Calibri" w:hAnsi="Calibri"/>
          <w:b/>
          <w:bCs/>
          <w:color w:val="1F4E79"/>
          <w:sz w:val="21"/>
          <w:szCs w:val="21"/>
        </w:rPr>
        <w:t xml:space="preserve">Executive Summary</w:t>
      </w:r>
    </w:p>
    <w:p>
      <w:pPr>
        <w:spacing w:after="80" w:before="100"/>
        <w:ind w:left="200"/>
      </w:pPr>
      <w:r>
        <w:rPr>
          <w:rFonts w:ascii="Calibri" w:cs="Calibri" w:eastAsia="Calibri" w:hAnsi="Calibri"/>
          <w:b/>
          <w:bCs/>
          <w:color w:val="1F4E79"/>
          <w:sz w:val="21"/>
          <w:szCs w:val="21"/>
        </w:rPr>
        <w:t xml:space="preserve">2.  </w:t>
      </w:r>
      <w:r>
        <w:rPr>
          <w:rFonts w:ascii="Calibri" w:cs="Calibri" w:eastAsia="Calibri" w:hAnsi="Calibri"/>
          <w:b/>
          <w:bCs/>
          <w:color w:val="1F4E79"/>
          <w:sz w:val="21"/>
          <w:szCs w:val="21"/>
        </w:rPr>
        <w:t xml:space="preserve">Gap Analysis — What the Brief Is Missing</w:t>
      </w:r>
    </w:p>
    <w:p>
      <w:pPr>
        <w:spacing w:after="40" w:before="0"/>
        <w:ind w:left="640"/>
      </w:pPr>
      <w:r>
        <w:rPr>
          <w:rFonts w:ascii="Calibri" w:cs="Calibri" w:eastAsia="Calibri" w:hAnsi="Calibri"/>
          <w:b w:val="false"/>
          <w:bCs w:val="false"/>
          <w:color w:val="595959"/>
          <w:sz w:val="20"/>
          <w:szCs w:val="20"/>
        </w:rPr>
        <w:t xml:space="preserve">2.1  </w:t>
      </w:r>
      <w:r>
        <w:rPr>
          <w:rFonts w:ascii="Calibri" w:cs="Calibri" w:eastAsia="Calibri" w:hAnsi="Calibri"/>
          <w:b w:val="false"/>
          <w:bCs w:val="false"/>
          <w:color w:val="404040"/>
          <w:sz w:val="20"/>
          <w:szCs w:val="20"/>
        </w:rPr>
        <w:t xml:space="preserve">Money and commercial</w:t>
      </w:r>
    </w:p>
    <w:p>
      <w:pPr>
        <w:spacing w:after="40" w:before="0"/>
        <w:ind w:left="640"/>
      </w:pPr>
      <w:r>
        <w:rPr>
          <w:rFonts w:ascii="Calibri" w:cs="Calibri" w:eastAsia="Calibri" w:hAnsi="Calibri"/>
          <w:b w:val="false"/>
          <w:bCs w:val="false"/>
          <w:color w:val="595959"/>
          <w:sz w:val="20"/>
          <w:szCs w:val="20"/>
        </w:rPr>
        <w:t xml:space="preserve">2.2  </w:t>
      </w:r>
      <w:r>
        <w:rPr>
          <w:rFonts w:ascii="Calibri" w:cs="Calibri" w:eastAsia="Calibri" w:hAnsi="Calibri"/>
          <w:b w:val="false"/>
          <w:bCs w:val="false"/>
          <w:color w:val="404040"/>
          <w:sz w:val="20"/>
          <w:szCs w:val="20"/>
        </w:rPr>
        <w:t xml:space="preserve">Dubai regulatory compliance</w:t>
      </w:r>
    </w:p>
    <w:p>
      <w:pPr>
        <w:spacing w:after="40" w:before="0"/>
        <w:ind w:left="640"/>
      </w:pPr>
      <w:r>
        <w:rPr>
          <w:rFonts w:ascii="Calibri" w:cs="Calibri" w:eastAsia="Calibri" w:hAnsi="Calibri"/>
          <w:b w:val="false"/>
          <w:bCs w:val="false"/>
          <w:color w:val="595959"/>
          <w:sz w:val="20"/>
          <w:szCs w:val="20"/>
        </w:rPr>
        <w:t xml:space="preserve">2.3  </w:t>
      </w:r>
      <w:r>
        <w:rPr>
          <w:rFonts w:ascii="Calibri" w:cs="Calibri" w:eastAsia="Calibri" w:hAnsi="Calibri"/>
          <w:b w:val="false"/>
          <w:bCs w:val="false"/>
          <w:color w:val="404040"/>
          <w:sz w:val="20"/>
          <w:szCs w:val="20"/>
        </w:rPr>
        <w:t xml:space="preserve">Booking and operations</w:t>
      </w:r>
    </w:p>
    <w:p>
      <w:pPr>
        <w:spacing w:after="40" w:before="0"/>
        <w:ind w:left="640"/>
      </w:pPr>
      <w:r>
        <w:rPr>
          <w:rFonts w:ascii="Calibri" w:cs="Calibri" w:eastAsia="Calibri" w:hAnsi="Calibri"/>
          <w:b w:val="false"/>
          <w:bCs w:val="false"/>
          <w:color w:val="595959"/>
          <w:sz w:val="20"/>
          <w:szCs w:val="20"/>
        </w:rPr>
        <w:t xml:space="preserve">2.4  </w:t>
      </w:r>
      <w:r>
        <w:rPr>
          <w:rFonts w:ascii="Calibri" w:cs="Calibri" w:eastAsia="Calibri" w:hAnsi="Calibri"/>
          <w:b w:val="false"/>
          <w:bCs w:val="false"/>
          <w:color w:val="404040"/>
          <w:sz w:val="20"/>
          <w:szCs w:val="20"/>
        </w:rPr>
        <w:t xml:space="preserve">Property record — beyond address, region and photo</w:t>
      </w:r>
    </w:p>
    <w:p>
      <w:pPr>
        <w:spacing w:after="40" w:before="0"/>
        <w:ind w:left="640"/>
      </w:pPr>
      <w:r>
        <w:rPr>
          <w:rFonts w:ascii="Calibri" w:cs="Calibri" w:eastAsia="Calibri" w:hAnsi="Calibri"/>
          <w:b w:val="false"/>
          <w:bCs w:val="false"/>
          <w:color w:val="595959"/>
          <w:sz w:val="20"/>
          <w:szCs w:val="20"/>
        </w:rPr>
        <w:t xml:space="preserve">2.5  </w:t>
      </w:r>
      <w:r>
        <w:rPr>
          <w:rFonts w:ascii="Calibri" w:cs="Calibri" w:eastAsia="Calibri" w:hAnsi="Calibri"/>
          <w:b w:val="false"/>
          <w:bCs w:val="false"/>
          <w:color w:val="404040"/>
          <w:sz w:val="20"/>
          <w:szCs w:val="20"/>
        </w:rPr>
        <w:t xml:space="preserve">Maintenance — structure around your log</w:t>
      </w:r>
    </w:p>
    <w:p>
      <w:pPr>
        <w:spacing w:after="40" w:before="0"/>
        <w:ind w:left="640"/>
      </w:pPr>
      <w:r>
        <w:rPr>
          <w:rFonts w:ascii="Calibri" w:cs="Calibri" w:eastAsia="Calibri" w:hAnsi="Calibri"/>
          <w:b w:val="false"/>
          <w:bCs w:val="false"/>
          <w:color w:val="595959"/>
          <w:sz w:val="20"/>
          <w:szCs w:val="20"/>
        </w:rPr>
        <w:t xml:space="preserve">2.6  </w:t>
      </w:r>
      <w:r>
        <w:rPr>
          <w:rFonts w:ascii="Calibri" w:cs="Calibri" w:eastAsia="Calibri" w:hAnsi="Calibri"/>
          <w:b w:val="false"/>
          <w:bCs w:val="false"/>
          <w:color w:val="404040"/>
          <w:sz w:val="20"/>
          <w:szCs w:val="20"/>
        </w:rPr>
        <w:t xml:space="preserve">System-level</w:t>
      </w:r>
    </w:p>
    <w:p>
      <w:pPr>
        <w:spacing w:after="80" w:before="100"/>
        <w:ind w:left="200"/>
      </w:pPr>
      <w:r>
        <w:rPr>
          <w:rFonts w:ascii="Calibri" w:cs="Calibri" w:eastAsia="Calibri" w:hAnsi="Calibri"/>
          <w:b/>
          <w:bCs/>
          <w:color w:val="1F4E79"/>
          <w:sz w:val="21"/>
          <w:szCs w:val="21"/>
        </w:rPr>
        <w:t xml:space="preserve">3.  </w:t>
      </w:r>
      <w:r>
        <w:rPr>
          <w:rFonts w:ascii="Calibri" w:cs="Calibri" w:eastAsia="Calibri" w:hAnsi="Calibri"/>
          <w:b/>
          <w:bCs/>
          <w:color w:val="1F4E79"/>
          <w:sz w:val="21"/>
          <w:szCs w:val="21"/>
        </w:rPr>
        <w:t xml:space="preserve">Dubai Regulatory Context</w:t>
      </w:r>
    </w:p>
    <w:p>
      <w:pPr>
        <w:spacing w:after="40" w:before="0"/>
        <w:ind w:left="640"/>
      </w:pPr>
      <w:r>
        <w:rPr>
          <w:rFonts w:ascii="Calibri" w:cs="Calibri" w:eastAsia="Calibri" w:hAnsi="Calibri"/>
          <w:b w:val="false"/>
          <w:bCs w:val="false"/>
          <w:color w:val="595959"/>
          <w:sz w:val="20"/>
          <w:szCs w:val="20"/>
        </w:rPr>
        <w:t xml:space="preserve">3.1  </w:t>
      </w:r>
      <w:r>
        <w:rPr>
          <w:rFonts w:ascii="Calibri" w:cs="Calibri" w:eastAsia="Calibri" w:hAnsi="Calibri"/>
          <w:b w:val="false"/>
          <w:bCs w:val="false"/>
          <w:color w:val="404040"/>
          <w:sz w:val="20"/>
          <w:szCs w:val="20"/>
        </w:rPr>
        <w:t xml:space="preserve">Obligations that the system must support</w:t>
      </w:r>
    </w:p>
    <w:p>
      <w:pPr>
        <w:spacing w:after="40" w:before="0"/>
        <w:ind w:left="640"/>
      </w:pPr>
      <w:r>
        <w:rPr>
          <w:rFonts w:ascii="Calibri" w:cs="Calibri" w:eastAsia="Calibri" w:hAnsi="Calibri"/>
          <w:b w:val="false"/>
          <w:bCs w:val="false"/>
          <w:color w:val="595959"/>
          <w:sz w:val="20"/>
          <w:szCs w:val="20"/>
        </w:rPr>
        <w:t xml:space="preserve">3.2  </w:t>
      </w:r>
      <w:r>
        <w:rPr>
          <w:rFonts w:ascii="Calibri" w:cs="Calibri" w:eastAsia="Calibri" w:hAnsi="Calibri"/>
          <w:b w:val="false"/>
          <w:bCs w:val="false"/>
          <w:color w:val="404040"/>
          <w:sz w:val="20"/>
          <w:szCs w:val="20"/>
        </w:rPr>
        <w:t xml:space="preserve">Design consequences</w:t>
      </w:r>
    </w:p>
    <w:p>
      <w:pPr>
        <w:spacing w:after="80" w:before="100"/>
        <w:ind w:left="200"/>
      </w:pPr>
      <w:r>
        <w:rPr>
          <w:rFonts w:ascii="Calibri" w:cs="Calibri" w:eastAsia="Calibri" w:hAnsi="Calibri"/>
          <w:b/>
          <w:bCs/>
          <w:color w:val="1F4E79"/>
          <w:sz w:val="21"/>
          <w:szCs w:val="21"/>
        </w:rPr>
        <w:t xml:space="preserve">4.  </w:t>
      </w:r>
      <w:r>
        <w:rPr>
          <w:rFonts w:ascii="Calibri" w:cs="Calibri" w:eastAsia="Calibri" w:hAnsi="Calibri"/>
          <w:b/>
          <w:bCs/>
          <w:color w:val="1F4E79"/>
          <w:sz w:val="21"/>
          <w:szCs w:val="21"/>
        </w:rPr>
        <w:t xml:space="preserve">Functional Specification</w:t>
      </w:r>
    </w:p>
    <w:p>
      <w:pPr>
        <w:spacing w:after="40" w:before="0"/>
        <w:ind w:left="640"/>
      </w:pPr>
      <w:r>
        <w:rPr>
          <w:rFonts w:ascii="Calibri" w:cs="Calibri" w:eastAsia="Calibri" w:hAnsi="Calibri"/>
          <w:b w:val="false"/>
          <w:bCs w:val="false"/>
          <w:color w:val="595959"/>
          <w:sz w:val="20"/>
          <w:szCs w:val="20"/>
        </w:rPr>
        <w:t xml:space="preserve">4.1  </w:t>
      </w:r>
      <w:r>
        <w:rPr>
          <w:rFonts w:ascii="Calibri" w:cs="Calibri" w:eastAsia="Calibri" w:hAnsi="Calibri"/>
          <w:b w:val="false"/>
          <w:bCs w:val="false"/>
          <w:color w:val="404040"/>
          <w:sz w:val="20"/>
          <w:szCs w:val="20"/>
        </w:rPr>
        <w:t xml:space="preserve">Property &amp; portfolio management</w:t>
      </w:r>
    </w:p>
    <w:p>
      <w:pPr>
        <w:spacing w:after="40" w:before="0"/>
        <w:ind w:left="640"/>
      </w:pPr>
      <w:r>
        <w:rPr>
          <w:rFonts w:ascii="Calibri" w:cs="Calibri" w:eastAsia="Calibri" w:hAnsi="Calibri"/>
          <w:b w:val="false"/>
          <w:bCs w:val="false"/>
          <w:color w:val="595959"/>
          <w:sz w:val="20"/>
          <w:szCs w:val="20"/>
        </w:rPr>
        <w:t xml:space="preserve">4.2  </w:t>
      </w:r>
      <w:r>
        <w:rPr>
          <w:rFonts w:ascii="Calibri" w:cs="Calibri" w:eastAsia="Calibri" w:hAnsi="Calibri"/>
          <w:b w:val="false"/>
          <w:bCs w:val="false"/>
          <w:color w:val="404040"/>
          <w:sz w:val="20"/>
          <w:szCs w:val="20"/>
        </w:rPr>
        <w:t xml:space="preserve">Compliance &amp; document vault</w:t>
      </w:r>
    </w:p>
    <w:p>
      <w:pPr>
        <w:spacing w:after="40" w:before="0"/>
        <w:ind w:left="640"/>
      </w:pPr>
      <w:r>
        <w:rPr>
          <w:rFonts w:ascii="Calibri" w:cs="Calibri" w:eastAsia="Calibri" w:hAnsi="Calibri"/>
          <w:b w:val="false"/>
          <w:bCs w:val="false"/>
          <w:color w:val="595959"/>
          <w:sz w:val="20"/>
          <w:szCs w:val="20"/>
        </w:rPr>
        <w:t xml:space="preserve">4.3  </w:t>
      </w:r>
      <w:r>
        <w:rPr>
          <w:rFonts w:ascii="Calibri" w:cs="Calibri" w:eastAsia="Calibri" w:hAnsi="Calibri"/>
          <w:b w:val="false"/>
          <w:bCs w:val="false"/>
          <w:color w:val="404040"/>
          <w:sz w:val="20"/>
          <w:szCs w:val="20"/>
        </w:rPr>
        <w:t xml:space="preserve">Guest CRM</w:t>
      </w:r>
    </w:p>
    <w:p>
      <w:pPr>
        <w:spacing w:after="40" w:before="0"/>
        <w:ind w:left="640"/>
      </w:pPr>
      <w:r>
        <w:rPr>
          <w:rFonts w:ascii="Calibri" w:cs="Calibri" w:eastAsia="Calibri" w:hAnsi="Calibri"/>
          <w:b w:val="false"/>
          <w:bCs w:val="false"/>
          <w:color w:val="595959"/>
          <w:sz w:val="20"/>
          <w:szCs w:val="20"/>
        </w:rPr>
        <w:t xml:space="preserve">4.4  </w:t>
      </w:r>
      <w:r>
        <w:rPr>
          <w:rFonts w:ascii="Calibri" w:cs="Calibri" w:eastAsia="Calibri" w:hAnsi="Calibri"/>
          <w:b w:val="false"/>
          <w:bCs w:val="false"/>
          <w:color w:val="404040"/>
          <w:sz w:val="20"/>
          <w:szCs w:val="20"/>
        </w:rPr>
        <w:t xml:space="preserve">Booking engine &amp; calendar</w:t>
      </w:r>
    </w:p>
    <w:p>
      <w:pPr>
        <w:spacing w:after="40" w:before="0"/>
        <w:ind w:left="640"/>
      </w:pPr>
      <w:r>
        <w:rPr>
          <w:rFonts w:ascii="Calibri" w:cs="Calibri" w:eastAsia="Calibri" w:hAnsi="Calibri"/>
          <w:b w:val="false"/>
          <w:bCs w:val="false"/>
          <w:color w:val="595959"/>
          <w:sz w:val="20"/>
          <w:szCs w:val="20"/>
        </w:rPr>
        <w:t xml:space="preserve">4.5  </w:t>
      </w:r>
      <w:r>
        <w:rPr>
          <w:rFonts w:ascii="Calibri" w:cs="Calibri" w:eastAsia="Calibri" w:hAnsi="Calibri"/>
          <w:b w:val="false"/>
          <w:bCs w:val="false"/>
          <w:color w:val="404040"/>
          <w:sz w:val="20"/>
          <w:szCs w:val="20"/>
        </w:rPr>
        <w:t xml:space="preserve">Pricing &amp; revenue</w:t>
      </w:r>
    </w:p>
    <w:p>
      <w:pPr>
        <w:spacing w:after="40" w:before="0"/>
        <w:ind w:left="640"/>
      </w:pPr>
      <w:r>
        <w:rPr>
          <w:rFonts w:ascii="Calibri" w:cs="Calibri" w:eastAsia="Calibri" w:hAnsi="Calibri"/>
          <w:b w:val="false"/>
          <w:bCs w:val="false"/>
          <w:color w:val="595959"/>
          <w:sz w:val="20"/>
          <w:szCs w:val="20"/>
        </w:rPr>
        <w:t xml:space="preserve">4.6  </w:t>
      </w:r>
      <w:r>
        <w:rPr>
          <w:rFonts w:ascii="Calibri" w:cs="Calibri" w:eastAsia="Calibri" w:hAnsi="Calibri"/>
          <w:b w:val="false"/>
          <w:bCs w:val="false"/>
          <w:color w:val="404040"/>
          <w:sz w:val="20"/>
          <w:szCs w:val="20"/>
        </w:rPr>
        <w:t xml:space="preserve">Payments &amp; finance</w:t>
      </w:r>
    </w:p>
    <w:p>
      <w:pPr>
        <w:spacing w:after="40" w:before="0"/>
        <w:ind w:left="640"/>
      </w:pPr>
      <w:r>
        <w:rPr>
          <w:rFonts w:ascii="Calibri" w:cs="Calibri" w:eastAsia="Calibri" w:hAnsi="Calibri"/>
          <w:b w:val="false"/>
          <w:bCs w:val="false"/>
          <w:color w:val="595959"/>
          <w:sz w:val="20"/>
          <w:szCs w:val="20"/>
        </w:rPr>
        <w:t xml:space="preserve">4.7  </w:t>
      </w:r>
      <w:r>
        <w:rPr>
          <w:rFonts w:ascii="Calibri" w:cs="Calibri" w:eastAsia="Calibri" w:hAnsi="Calibri"/>
          <w:b w:val="false"/>
          <w:bCs w:val="false"/>
          <w:color w:val="404040"/>
          <w:sz w:val="20"/>
          <w:szCs w:val="20"/>
        </w:rPr>
        <w:t xml:space="preserve">Maintenance &amp; housekeeping</w:t>
      </w:r>
    </w:p>
    <w:p>
      <w:pPr>
        <w:spacing w:after="40" w:before="0"/>
        <w:ind w:left="640"/>
      </w:pPr>
      <w:r>
        <w:rPr>
          <w:rFonts w:ascii="Calibri" w:cs="Calibri" w:eastAsia="Calibri" w:hAnsi="Calibri"/>
          <w:b w:val="false"/>
          <w:bCs w:val="false"/>
          <w:color w:val="595959"/>
          <w:sz w:val="20"/>
          <w:szCs w:val="20"/>
        </w:rPr>
        <w:t xml:space="preserve">4.8  </w:t>
      </w:r>
      <w:r>
        <w:rPr>
          <w:rFonts w:ascii="Calibri" w:cs="Calibri" w:eastAsia="Calibri" w:hAnsi="Calibri"/>
          <w:b w:val="false"/>
          <w:bCs w:val="false"/>
          <w:color w:val="404040"/>
          <w:sz w:val="20"/>
          <w:szCs w:val="20"/>
        </w:rPr>
        <w:t xml:space="preserve">Reporting</w:t>
      </w:r>
    </w:p>
    <w:p>
      <w:pPr>
        <w:spacing w:after="40" w:before="0"/>
        <w:ind w:left="640"/>
      </w:pPr>
      <w:r>
        <w:rPr>
          <w:rFonts w:ascii="Calibri" w:cs="Calibri" w:eastAsia="Calibri" w:hAnsi="Calibri"/>
          <w:b w:val="false"/>
          <w:bCs w:val="false"/>
          <w:color w:val="595959"/>
          <w:sz w:val="20"/>
          <w:szCs w:val="20"/>
        </w:rPr>
        <w:t xml:space="preserve">4.9  </w:t>
      </w:r>
      <w:r>
        <w:rPr>
          <w:rFonts w:ascii="Calibri" w:cs="Calibri" w:eastAsia="Calibri" w:hAnsi="Calibri"/>
          <w:b w:val="false"/>
          <w:bCs w:val="false"/>
          <w:color w:val="404040"/>
          <w:sz w:val="20"/>
          <w:szCs w:val="20"/>
        </w:rPr>
        <w:t xml:space="preserve">Notifications</w:t>
      </w:r>
    </w:p>
    <w:p>
      <w:pPr>
        <w:spacing w:after="80" w:before="100"/>
        <w:ind w:left="200"/>
      </w:pPr>
      <w:r>
        <w:rPr>
          <w:rFonts w:ascii="Calibri" w:cs="Calibri" w:eastAsia="Calibri" w:hAnsi="Calibri"/>
          <w:b/>
          <w:bCs/>
          <w:color w:val="1F4E79"/>
          <w:sz w:val="21"/>
          <w:szCs w:val="21"/>
        </w:rPr>
        <w:t xml:space="preserve">5.  </w:t>
      </w:r>
      <w:r>
        <w:rPr>
          <w:rFonts w:ascii="Calibri" w:cs="Calibri" w:eastAsia="Calibri" w:hAnsi="Calibri"/>
          <w:b/>
          <w:bCs/>
          <w:color w:val="1F4E79"/>
          <w:sz w:val="21"/>
          <w:szCs w:val="21"/>
        </w:rPr>
        <w:t xml:space="preserve">Data Model</w:t>
      </w:r>
    </w:p>
    <w:p>
      <w:pPr>
        <w:spacing w:after="40" w:before="0"/>
        <w:ind w:left="640"/>
      </w:pPr>
      <w:r>
        <w:rPr>
          <w:rFonts w:ascii="Calibri" w:cs="Calibri" w:eastAsia="Calibri" w:hAnsi="Calibri"/>
          <w:b w:val="false"/>
          <w:bCs w:val="false"/>
          <w:color w:val="595959"/>
          <w:sz w:val="20"/>
          <w:szCs w:val="20"/>
        </w:rPr>
        <w:t xml:space="preserve">5.1  </w:t>
      </w:r>
      <w:r>
        <w:rPr>
          <w:rFonts w:ascii="Calibri" w:cs="Calibri" w:eastAsia="Calibri" w:hAnsi="Calibri"/>
          <w:b w:val="false"/>
          <w:bCs w:val="false"/>
          <w:color w:val="404040"/>
          <w:sz w:val="20"/>
          <w:szCs w:val="20"/>
        </w:rPr>
        <w:t xml:space="preserve">Core entities</w:t>
      </w:r>
    </w:p>
    <w:p>
      <w:pPr>
        <w:spacing w:after="40" w:before="0"/>
        <w:ind w:left="640"/>
      </w:pPr>
      <w:r>
        <w:rPr>
          <w:rFonts w:ascii="Calibri" w:cs="Calibri" w:eastAsia="Calibri" w:hAnsi="Calibri"/>
          <w:b w:val="false"/>
          <w:bCs w:val="false"/>
          <w:color w:val="595959"/>
          <w:sz w:val="20"/>
          <w:szCs w:val="20"/>
        </w:rPr>
        <w:t xml:space="preserve">5.2  </w:t>
      </w:r>
      <w:r>
        <w:rPr>
          <w:rFonts w:ascii="Calibri" w:cs="Calibri" w:eastAsia="Calibri" w:hAnsi="Calibri"/>
          <w:b w:val="false"/>
          <w:bCs w:val="false"/>
          <w:color w:val="404040"/>
          <w:sz w:val="20"/>
          <w:szCs w:val="20"/>
        </w:rPr>
        <w:t xml:space="preserve">Relationship notes</w:t>
      </w:r>
    </w:p>
    <w:p>
      <w:pPr>
        <w:spacing w:after="80" w:before="100"/>
        <w:ind w:left="200"/>
      </w:pPr>
      <w:r>
        <w:rPr>
          <w:rFonts w:ascii="Calibri" w:cs="Calibri" w:eastAsia="Calibri" w:hAnsi="Calibri"/>
          <w:b/>
          <w:bCs/>
          <w:color w:val="1F4E79"/>
          <w:sz w:val="21"/>
          <w:szCs w:val="21"/>
        </w:rPr>
        <w:t xml:space="preserve">6.  </w:t>
      </w:r>
      <w:r>
        <w:rPr>
          <w:rFonts w:ascii="Calibri" w:cs="Calibri" w:eastAsia="Calibri" w:hAnsi="Calibri"/>
          <w:b/>
          <w:bCs/>
          <w:color w:val="1F4E79"/>
          <w:sz w:val="21"/>
          <w:szCs w:val="21"/>
        </w:rPr>
        <w:t xml:space="preserve">Technical Architecture</w:t>
      </w:r>
    </w:p>
    <w:p>
      <w:pPr>
        <w:spacing w:after="40" w:before="0"/>
        <w:ind w:left="640"/>
      </w:pPr>
      <w:r>
        <w:rPr>
          <w:rFonts w:ascii="Calibri" w:cs="Calibri" w:eastAsia="Calibri" w:hAnsi="Calibri"/>
          <w:b w:val="false"/>
          <w:bCs w:val="false"/>
          <w:color w:val="595959"/>
          <w:sz w:val="20"/>
          <w:szCs w:val="20"/>
        </w:rPr>
        <w:t xml:space="preserve">6.1  </w:t>
      </w:r>
      <w:r>
        <w:rPr>
          <w:rFonts w:ascii="Calibri" w:cs="Calibri" w:eastAsia="Calibri" w:hAnsi="Calibri"/>
          <w:b w:val="false"/>
          <w:bCs w:val="false"/>
          <w:color w:val="404040"/>
          <w:sz w:val="20"/>
          <w:szCs w:val="20"/>
        </w:rPr>
        <w:t xml:space="preserve">Recommended stack</w:t>
      </w:r>
    </w:p>
    <w:p>
      <w:pPr>
        <w:spacing w:after="40" w:before="0"/>
        <w:ind w:left="640"/>
      </w:pPr>
      <w:r>
        <w:rPr>
          <w:rFonts w:ascii="Calibri" w:cs="Calibri" w:eastAsia="Calibri" w:hAnsi="Calibri"/>
          <w:b w:val="false"/>
          <w:bCs w:val="false"/>
          <w:color w:val="595959"/>
          <w:sz w:val="20"/>
          <w:szCs w:val="20"/>
        </w:rPr>
        <w:t xml:space="preserve">6.2  </w:t>
      </w:r>
      <w:r>
        <w:rPr>
          <w:rFonts w:ascii="Calibri" w:cs="Calibri" w:eastAsia="Calibri" w:hAnsi="Calibri"/>
          <w:b w:val="false"/>
          <w:bCs w:val="false"/>
          <w:color w:val="404040"/>
          <w:sz w:val="20"/>
          <w:szCs w:val="20"/>
        </w:rPr>
        <w:t xml:space="preserve">Application modules</w:t>
      </w:r>
    </w:p>
    <w:p>
      <w:pPr>
        <w:spacing w:after="40" w:before="0"/>
        <w:ind w:left="640"/>
      </w:pPr>
      <w:r>
        <w:rPr>
          <w:rFonts w:ascii="Calibri" w:cs="Calibri" w:eastAsia="Calibri" w:hAnsi="Calibri"/>
          <w:b w:val="false"/>
          <w:bCs w:val="false"/>
          <w:color w:val="595959"/>
          <w:sz w:val="20"/>
          <w:szCs w:val="20"/>
        </w:rPr>
        <w:t xml:space="preserve">6.3  </w:t>
      </w:r>
      <w:r>
        <w:rPr>
          <w:rFonts w:ascii="Calibri" w:cs="Calibri" w:eastAsia="Calibri" w:hAnsi="Calibri"/>
          <w:b w:val="false"/>
          <w:bCs w:val="false"/>
          <w:color w:val="404040"/>
          <w:sz w:val="20"/>
          <w:szCs w:val="20"/>
        </w:rPr>
        <w:t xml:space="preserve">Integrations</w:t>
      </w:r>
    </w:p>
    <w:p>
      <w:pPr>
        <w:spacing w:after="40" w:before="0"/>
        <w:ind w:left="640"/>
      </w:pPr>
      <w:r>
        <w:rPr>
          <w:rFonts w:ascii="Calibri" w:cs="Calibri" w:eastAsia="Calibri" w:hAnsi="Calibri"/>
          <w:b w:val="false"/>
          <w:bCs w:val="false"/>
          <w:color w:val="595959"/>
          <w:sz w:val="20"/>
          <w:szCs w:val="20"/>
        </w:rPr>
        <w:t xml:space="preserve">6.4  </w:t>
      </w:r>
      <w:r>
        <w:rPr>
          <w:rFonts w:ascii="Calibri" w:cs="Calibri" w:eastAsia="Calibri" w:hAnsi="Calibri"/>
          <w:b w:val="false"/>
          <w:bCs w:val="false"/>
          <w:color w:val="404040"/>
          <w:sz w:val="20"/>
          <w:szCs w:val="20"/>
        </w:rPr>
        <w:t xml:space="preserve">Security and data protection</w:t>
      </w:r>
    </w:p>
    <w:p>
      <w:pPr>
        <w:spacing w:after="40" w:before="0"/>
        <w:ind w:left="640"/>
      </w:pPr>
      <w:r>
        <w:rPr>
          <w:rFonts w:ascii="Calibri" w:cs="Calibri" w:eastAsia="Calibri" w:hAnsi="Calibri"/>
          <w:b w:val="false"/>
          <w:bCs w:val="false"/>
          <w:color w:val="595959"/>
          <w:sz w:val="20"/>
          <w:szCs w:val="20"/>
        </w:rPr>
        <w:t xml:space="preserve">6.5  </w:t>
      </w:r>
      <w:r>
        <w:rPr>
          <w:rFonts w:ascii="Calibri" w:cs="Calibri" w:eastAsia="Calibri" w:hAnsi="Calibri"/>
          <w:b w:val="false"/>
          <w:bCs w:val="false"/>
          <w:color w:val="404040"/>
          <w:sz w:val="20"/>
          <w:szCs w:val="20"/>
        </w:rPr>
        <w:t xml:space="preserve">Non-functional requirements</w:t>
      </w:r>
    </w:p>
    <w:p>
      <w:pPr>
        <w:spacing w:after="80" w:before="100"/>
        <w:ind w:left="200"/>
      </w:pPr>
      <w:r>
        <w:rPr>
          <w:rFonts w:ascii="Calibri" w:cs="Calibri" w:eastAsia="Calibri" w:hAnsi="Calibri"/>
          <w:b/>
          <w:bCs/>
          <w:color w:val="1F4E79"/>
          <w:sz w:val="21"/>
          <w:szCs w:val="21"/>
        </w:rPr>
        <w:t xml:space="preserve">7.  </w:t>
      </w:r>
      <w:r>
        <w:rPr>
          <w:rFonts w:ascii="Calibri" w:cs="Calibri" w:eastAsia="Calibri" w:hAnsi="Calibri"/>
          <w:b/>
          <w:bCs/>
          <w:color w:val="1F4E79"/>
          <w:sz w:val="21"/>
          <w:szCs w:val="21"/>
        </w:rPr>
        <w:t xml:space="preserve">Delivery Roadmap</w:t>
      </w:r>
    </w:p>
    <w:p>
      <w:pPr>
        <w:spacing w:after="80" w:before="100"/>
        <w:ind w:left="200"/>
      </w:pPr>
      <w:r>
        <w:rPr>
          <w:rFonts w:ascii="Calibri" w:cs="Calibri" w:eastAsia="Calibri" w:hAnsi="Calibri"/>
          <w:b/>
          <w:bCs/>
          <w:color w:val="1F4E79"/>
          <w:sz w:val="21"/>
          <w:szCs w:val="21"/>
        </w:rPr>
        <w:t xml:space="preserve">8.  </w:t>
      </w:r>
      <w:r>
        <w:rPr>
          <w:rFonts w:ascii="Calibri" w:cs="Calibri" w:eastAsia="Calibri" w:hAnsi="Calibri"/>
          <w:b/>
          <w:bCs/>
          <w:color w:val="1F4E79"/>
          <w:sz w:val="21"/>
          <w:szCs w:val="21"/>
        </w:rPr>
        <w:t xml:space="preserve">Decisions Required Before Build</w:t>
      </w:r>
    </w:p>
    <w:p>
      <w:pPr>
        <w:spacing w:after="80" w:before="100"/>
        <w:ind w:left="200"/>
      </w:pPr>
      <w:r>
        <w:rPr>
          <w:rFonts w:ascii="Calibri" w:cs="Calibri" w:eastAsia="Calibri" w:hAnsi="Calibri"/>
          <w:b/>
          <w:bCs/>
          <w:color w:val="1F4E79"/>
          <w:sz w:val="21"/>
          <w:szCs w:val="21"/>
        </w:rPr>
        <w:t xml:space="preserve">A.  </w:t>
      </w:r>
      <w:r>
        <w:rPr>
          <w:rFonts w:ascii="Calibri" w:cs="Calibri" w:eastAsia="Calibri" w:hAnsi="Calibri"/>
          <w:b/>
          <w:bCs/>
          <w:color w:val="1F4E79"/>
          <w:sz w:val="21"/>
          <w:szCs w:val="21"/>
        </w:rPr>
        <w:t xml:space="preserve">Appendix A — Sources</w:t>
      </w:r>
    </w:p>
    <w:p>
      <w:r>
        <w:br w:type="page"/>
      </w:r>
    </w:p>
    <w:p>
      <w:pPr>
        <w:pStyle w:val="Heading1"/>
        <w:spacing w:after="160" w:before="320"/>
      </w:pPr>
      <w:r>
        <w:rPr>
          <w:rFonts w:ascii="Calibri" w:cs="Calibri" w:eastAsia="Calibri" w:hAnsi="Calibri"/>
          <w:b/>
          <w:bCs/>
          <w:color w:val="1F4E79"/>
          <w:sz w:val="30"/>
          <w:szCs w:val="30"/>
        </w:rPr>
        <w:t xml:space="preserve">1. Executive Summary</w:t>
      </w:r>
    </w:p>
    <w:p>
      <w:pPr>
        <w:spacing w:after="120" w:line="276"/>
      </w:pPr>
      <w:r>
        <w:rPr>
          <w:rFonts w:ascii="Calibri" w:cs="Calibri" w:eastAsia="Calibri" w:hAnsi="Calibri"/>
          <w:sz w:val="21"/>
          <w:szCs w:val="21"/>
        </w:rPr>
        <w:t xml:space="preserve">This document specifies a web application to run a small portfolio of short-term holiday rental units in Dubai. It covers property records, guest relationship management, a booking calendar, financials, maintenance, and — critically — the Dubai regulatory obligations that attach to every booking you take.</w:t>
      </w:r>
    </w:p>
    <w:p>
      <w:pPr>
        <w:spacing w:after="120" w:line="276"/>
      </w:pPr>
      <w:r>
        <w:rPr>
          <w:rFonts w:ascii="Calibri" w:cs="Calibri" w:eastAsia="Calibri" w:hAnsi="Calibri"/>
          <w:sz w:val="21"/>
          <w:szCs w:val="21"/>
        </w:rPr>
        <w:t xml:space="preserve">Your original brief described five areas: property records with photos, a CRM for bookings, a per-property booking calendar, guest identity and contact capture, and property documentation including title deed, licence, utilities and a maintenance log. All of that is specified here.</w:t>
      </w:r>
    </w:p>
    <w:p>
      <w:pPr>
        <w:spacing w:after="120" w:line="276"/>
      </w:pPr>
      <w:r>
        <w:rPr>
          <w:rFonts w:ascii="Calibri" w:cs="Calibri" w:eastAsia="Calibri" w:hAnsi="Calibri"/>
          <w:sz w:val="21"/>
          <w:szCs w:val="21"/>
        </w:rPr>
        <w:t xml:space="preserve">Section 2 sets out what the brief did not mention but the business needs. The short version: the brief describes a good record-keeping system, but a holiday-let operation in Dubai also needs a money layer (payments, deposits, pricing, tax) and a compliance layer (DET permit lifecycle, guest registration within hours of check-in, Tourism Dirham, VAT). Those two layers are where operators get fined or lose margin, and they are the largest additions proposed.</w:t>
      </w:r>
    </w:p>
    <w:tbl>
      <w:tblPr>
        <w:tblW w:type="dxa" w:w="9026"/>
        <w:tblBorders>
          <w:top w:val="single" w:color="1F4E79" w:sz="4"/>
          <w:left w:val="single" w:color="1F4E79" w:sz="16"/>
          <w:bottom w:val="single" w:color="1F4E79" w:sz="4"/>
          <w:right w:val="single" w:color="1F4E79" w:sz="4"/>
          <w:insideH w:val="none"/>
          <w:insideV w:val="none"/>
        </w:tblBorders>
      </w:tblPr>
      <w:tblGrid>
        <w:gridCol w:w="9026"/>
      </w:tblGrid>
      <w:tr>
        <w:tc>
          <w:tcPr>
            <w:tcW w:type="dxa" w:w="9026"/>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The single biggest gap</w:t>
            </w:r>
          </w:p>
          <w:p>
            <w:pPr>
              <w:spacing w:after="0"/>
            </w:pPr>
            <w:r>
              <w:rPr>
                <w:rFonts w:ascii="Calibri" w:cs="Calibri" w:eastAsia="Calibri" w:hAnsi="Calibri"/>
                <w:sz w:val="20"/>
                <w:szCs w:val="20"/>
              </w:rPr>
              <w:t xml:space="preserve">Dubai requires you to upload each guest's passport or Emirates ID to the DET Holiday Homes portal very shortly after check-in, and to remit Tourism Dirham per occupied bedroom per night. Neither obligation appears in the original brief, but both are per-booking, deadline-driven, and carry penalties. The system should treat them as first-class workflow, not paperwork.</w:t>
            </w:r>
          </w:p>
        </w:tc>
      </w:tr>
    </w:tbl>
    <w:p>
      <w:r>
        <w:br w:type="page"/>
      </w:r>
    </w:p>
    <w:p>
      <w:pPr>
        <w:pStyle w:val="Heading1"/>
        <w:spacing w:after="160" w:before="320"/>
      </w:pPr>
      <w:r>
        <w:rPr>
          <w:rFonts w:ascii="Calibri" w:cs="Calibri" w:eastAsia="Calibri" w:hAnsi="Calibri"/>
          <w:b/>
          <w:bCs/>
          <w:color w:val="1F4E79"/>
          <w:sz w:val="30"/>
          <w:szCs w:val="30"/>
        </w:rPr>
        <w:t xml:space="preserve">2. Gap Analysis — What the Brief Is Missing</w:t>
      </w:r>
    </w:p>
    <w:p>
      <w:pPr>
        <w:spacing w:after="120" w:line="276"/>
      </w:pPr>
      <w:r>
        <w:rPr>
          <w:rFonts w:ascii="Calibri" w:cs="Calibri" w:eastAsia="Calibri" w:hAnsi="Calibri"/>
          <w:sz w:val="21"/>
          <w:szCs w:val="21"/>
        </w:rPr>
        <w:t xml:space="preserve">The table below maps what you specified against what a working system needs. Items marked Critical should be in the first release; the business is exposed without them.</w:t>
      </w:r>
    </w:p>
    <w:p>
      <w:pPr>
        <w:pStyle w:val="Heading2"/>
        <w:spacing w:after="120" w:before="240"/>
      </w:pPr>
      <w:r>
        <w:rPr>
          <w:rFonts w:ascii="Calibri" w:cs="Calibri" w:eastAsia="Calibri" w:hAnsi="Calibri"/>
          <w:b/>
          <w:bCs/>
          <w:color w:val="1F4E79"/>
          <w:sz w:val="24"/>
          <w:szCs w:val="24"/>
        </w:rPr>
        <w:t xml:space="preserve">2.1 Money and commercial</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026"/>
        <w:gridCol w:w="1400"/>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Missing capability</w:t>
            </w:r>
          </w:p>
        </w:tc>
        <w:tc>
          <w:tcPr>
            <w:tcW w:type="dxa" w:w="50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c>
          <w:tcPr>
            <w:tcW w:type="dxa" w:w="1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Priority</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Payments &amp; payment status</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Bookings without payment tracking cannot tell you what is owed, paid, or refunded. Needs deposit, balance, refund and method.</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Security deposit lifecycle</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Hold, partial deduction for damage, and release. A frequent source of guest disputes; must be auditable.</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Pricing engine</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Base rate, seasonal and peak rates, weekend uplift, minimum stay, length-of-stay discount, extra-guest fee. Dubai demand is highly seasonal — flat pricing leaves money on the table.</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Cancellation policy &amp; refund rules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Determines refund automatically instead of case-by-case negotiation.</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Fee and tax line items</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Cleaning fee, Tourism Dirham and VAT must appear as separate lines, not be buried in the nightly rate.</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Tax invoice generation</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UAE FTA requires compliant tax invoices once VAT-registered. Manual invoicing does not scale.</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Per-property expense tracking</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Without it you cannot compute profit per unit, only revenue. Decides which units to keep.</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Occupancy &amp; revenue metrics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Occupancy rate, ADR (average daily rate) and RevPAR are the standard measures of whether the business is working.</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bl>
    <w:p>
      <w:pPr>
        <w:pStyle w:val="Heading2"/>
        <w:spacing w:after="120" w:before="240"/>
      </w:pPr>
      <w:r>
        <w:rPr>
          <w:rFonts w:ascii="Calibri" w:cs="Calibri" w:eastAsia="Calibri" w:hAnsi="Calibri"/>
          <w:b/>
          <w:bCs/>
          <w:color w:val="1F4E79"/>
          <w:sz w:val="24"/>
          <w:szCs w:val="24"/>
        </w:rPr>
        <w:t xml:space="preserve">2.2 Dubai regulatory compliance</w:t>
      </w:r>
    </w:p>
    <w:p>
      <w:pPr>
        <w:spacing w:after="120" w:line="276"/>
      </w:pPr>
      <w:r>
        <w:rPr>
          <w:rFonts w:ascii="Calibri" w:cs="Calibri" w:eastAsia="Calibri" w:hAnsi="Calibri"/>
          <w:sz w:val="21"/>
          <w:szCs w:val="21"/>
        </w:rPr>
        <w:t xml:space="preserve">This is the area the brief omits most completely. Each item below is a legal obligation, not a nice-to-have.</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026"/>
        <w:gridCol w:w="1400"/>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Missing capability</w:t>
            </w:r>
          </w:p>
        </w:tc>
        <w:tc>
          <w:tcPr>
            <w:tcW w:type="dxa" w:w="50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c>
          <w:tcPr>
            <w:tcW w:type="dxa" w:w="1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Priority</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DET permit per unit, with expiry</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Every unit needs its own permit. Permits run 12 months and do not auto-renew; the renewal window is short and DET does not send reminders. An expired permit is treated like having none.</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registration to DET portal</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passport / Emirates ID must be submitted to the DET Holiday Homes system very soon after check-in. Needs a countdown, an assignee and a confirmation record per booking.</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Tourism Dirham accrual &amp; filing</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Charged per occupied bedroom per night at a rate driven by the unit's Standard/Deluxe classification, then filed monthly. Must accrue automatically from the booking.</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Unit classification (Standard / Deluxe)</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Self-classified at permit stage; it sets the Tourism Dirham rate, so it belongs on the property record.</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VAT threshold monitoring</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Short-term lets are a taxable supply. Registration becomes mandatory once turnover crosses the threshold — the system should warn you as you approach it.</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Landlord / building NOCs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Required at permit application and on renewal; they expire and must be re-obtained.</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Permit display &amp; QR evidence</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The permit must be displayed in the unit and a QR code placed at the door. Store a dated photo as proof of compliance.</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PDPL data-protection controls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You will hold passport scans. UAE data protection law requires lawful basis, consent capture, retention limits and access control.</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bl>
    <w:p>
      <w:pPr>
        <w:pStyle w:val="Heading2"/>
        <w:spacing w:after="120" w:before="240"/>
      </w:pPr>
      <w:r>
        <w:rPr>
          <w:rFonts w:ascii="Calibri" w:cs="Calibri" w:eastAsia="Calibri" w:hAnsi="Calibri"/>
          <w:b/>
          <w:bCs/>
          <w:color w:val="1F4E79"/>
          <w:sz w:val="24"/>
          <w:szCs w:val="24"/>
        </w:rPr>
        <w:t xml:space="preserve">2.3 Booking and operations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026"/>
        <w:gridCol w:w="1400"/>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Missing capability</w:t>
            </w:r>
          </w:p>
        </w:tc>
        <w:tc>
          <w:tcPr>
            <w:tcW w:type="dxa" w:w="50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c>
          <w:tcPr>
            <w:tcW w:type="dxa" w:w="1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Priority</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Channel synchronisation</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If you list on Airbnb or Booking.com, calendars must sync or you will double-book. iCal two-way sync is the minimum viable approach.</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Booking status lifecycle</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Enquiry, held, confirmed, checked-in, checked-out, cancelled, no-show. A booking is not a single state.</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Non-guest calendar blocks</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Owner stays, deep cleans and maintenance must occupy the calendar so they cannot be booked over.</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Housekeeping / turnover scheduling</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Same-day checkout-then-checkin is the norm. Cleans need scheduling, assignment and completion sign-off.</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Access &amp; key management</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Smart-lock codes or key handover per booking, with codes rotated per guest.</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communication log &amp; templates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Pre-arrival instructions, check-in details, checkout reminders. Keeps a record of what was promised.</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Guest history, ratings and blocklist</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Repeat guests are your cheapest bookings; problem guests should not be re-accepted.</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count per booking</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Drives Tourism Dirham, occupancy limits and cleaning scope. Not just a customer name.</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bl>
    <w:p>
      <w:pPr>
        <w:pStyle w:val="Heading2"/>
        <w:spacing w:after="120" w:before="240"/>
      </w:pPr>
      <w:r>
        <w:rPr>
          <w:rFonts w:ascii="Calibri" w:cs="Calibri" w:eastAsia="Calibri" w:hAnsi="Calibri"/>
          <w:b/>
          <w:bCs/>
          <w:color w:val="1F4E79"/>
          <w:sz w:val="24"/>
          <w:szCs w:val="24"/>
        </w:rPr>
        <w:t xml:space="preserve">2.4 Property record — beyond address, region and photo</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026"/>
        <w:gridCol w:w="1400"/>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Missing capability</w:t>
            </w:r>
          </w:p>
        </w:tc>
        <w:tc>
          <w:tcPr>
            <w:tcW w:type="dxa" w:w="50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c>
          <w:tcPr>
            <w:tcW w:type="dxa" w:w="1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Priority</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Unit specification</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Bedrooms, bathrooms, maximum occupancy, size, floor, view, furnished status. Bedrooms directly drive Tourism Dirham.</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Amenities list</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Feeds listing descriptions and guest expectations; reduces complaints.</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DEWA account &amp; premise number</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You listed utility bills generally; in Dubai the DEWA premise number is the unit's identifier and appears in permit applications.</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District cooling account</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Chiller charges (Empower, Emicool and similar) are often billed separately from DEWA and are a major cost line. Your brief mentions AC as maintenance only.</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Service charge / community fee</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A significant recurring cost per unit, usually quarterly.</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Asset &amp; inventory register</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Appliances and furnishings with purchase date, warranty and serial number. Links directly to maintenance and to deposit deductions.</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Insurance policy</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Property and public liability cover, with renewal dates.</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Mortgage details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If financed, repayments belong in the per-unit profit calculation.</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Parking bay &amp; access cards</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Handed to guests and frequently lost; worth tracking as issued items.</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Low</w:t>
            </w:r>
          </w:p>
        </w:tc>
      </w:tr>
    </w:tbl>
    <w:p>
      <w:pPr>
        <w:pStyle w:val="Heading2"/>
        <w:spacing w:after="120" w:before="240"/>
      </w:pPr>
      <w:r>
        <w:rPr>
          <w:rFonts w:ascii="Calibri" w:cs="Calibri" w:eastAsia="Calibri" w:hAnsi="Calibri"/>
          <w:b/>
          <w:bCs/>
          <w:color w:val="1F4E79"/>
          <w:sz w:val="24"/>
          <w:szCs w:val="24"/>
        </w:rPr>
        <w:t xml:space="preserve">2.5 Maintenance — structure around your log</w:t>
      </w:r>
    </w:p>
    <w:p>
      <w:pPr>
        <w:spacing w:after="120" w:line="276"/>
      </w:pPr>
      <w:r>
        <w:rPr>
          <w:rFonts w:ascii="Calibri" w:cs="Calibri" w:eastAsia="Calibri" w:hAnsi="Calibri"/>
          <w:sz w:val="21"/>
          <w:szCs w:val="21"/>
        </w:rPr>
        <w:t xml:space="preserve">You asked for a maintenance issue list and a fix log. That is the reactive half. The proactive half prevents most of the reactive half.</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026"/>
        <w:gridCol w:w="1400"/>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Missing capability</w:t>
            </w:r>
          </w:p>
        </w:tc>
        <w:tc>
          <w:tcPr>
            <w:tcW w:type="dxa" w:w="50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c>
          <w:tcPr>
            <w:tcW w:type="dxa" w:w="1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Priority</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Preventive maintenance schedule</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AC servicing, water tank cleaning and pest control on recurring intervals. In Dubai's climate, deferred AC servicing turns into mid-summer emergency failures and refunded bookings.</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Vendor directory</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Contractors with trade, rate, contact and response time. Avoids re-sourcing under pressure.</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Work order lifecycle &amp; cost</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Reported, triaged, assigned, in progress, resolved, verified — with cost captured so it flows to the unit's P&amp;L.</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Before/after photo evidence</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Supports deposit deductions and warranty claims.</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Warranty tracking</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Prevents paying for repairs still covered by the manufacturer.</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Issue-to-booking link</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Tells you whether a fault affected a stay, which drives refunds and review risk.</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bl>
    <w:p>
      <w:pPr>
        <w:pStyle w:val="Heading2"/>
        <w:spacing w:after="120" w:before="240"/>
      </w:pPr>
      <w:r>
        <w:rPr>
          <w:rFonts w:ascii="Calibri" w:cs="Calibri" w:eastAsia="Calibri" w:hAnsi="Calibri"/>
          <w:b/>
          <w:bCs/>
          <w:color w:val="1F4E79"/>
          <w:sz w:val="24"/>
          <w:szCs w:val="24"/>
        </w:rPr>
        <w:t xml:space="preserve">2.6 System-level</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5026"/>
        <w:gridCol w:w="1400"/>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Missing capability</w:t>
            </w:r>
          </w:p>
        </w:tc>
        <w:tc>
          <w:tcPr>
            <w:tcW w:type="dxa" w:w="50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c>
          <w:tcPr>
            <w:tcW w:type="dxa" w:w="1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Priority</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Roles &amp; permissions</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A cleaner needs today's schedule, not guest passport scans. Least-privilege access is also a PDPL expectation.</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Document expiry dashboard</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One screen for every expiring permit, NOC, insurance policy and contract, with advance alerts.</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Audit trail</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Who changed a price, refunded a deposit or opened a passport record, and when.</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Notifications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Email and WhatsApp alerts for deadlines, new bookings and urgent maintenance.</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Multi-currency handling</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Guests pay in various currencies; books are kept in AED.</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Medium</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Mobile-friendly field views</w:t>
            </w:r>
          </w:p>
        </w:tc>
        <w:tc>
          <w:tcPr>
            <w:tcW w:type="dxa" w:w="5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Cleaners and maintenance staff work from phones.</w:t>
            </w:r>
          </w:p>
        </w:tc>
        <w:tc>
          <w:tcPr>
            <w:tcW w:type="dxa" w:w="1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High</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Backup &amp; recovery</w:t>
            </w:r>
          </w:p>
        </w:tc>
        <w:tc>
          <w:tcPr>
            <w:tcW w:type="dxa" w:w="5026"/>
            <w:tcMar>
              <w:top w:type="dxa" w:w="80"/>
              <w:left w:type="dxa" w:w="120"/>
              <w:bottom w:type="dxa" w:w="80"/>
              <w:right w:type="dxa" w:w="120"/>
            </w:tcMar>
          </w:tcPr>
          <w:p>
            <w:pPr>
              <w:spacing w:after="0" w:line="252"/>
            </w:pPr>
            <w:r>
              <w:rPr>
                <w:rFonts w:ascii="Calibri" w:cs="Calibri" w:eastAsia="Calibri" w:hAnsi="Calibri"/>
                <w:sz w:val="19"/>
                <w:szCs w:val="19"/>
              </w:rPr>
              <w:t xml:space="preserve">Loss of booking and compliance records is an existential risk.</w:t>
            </w:r>
          </w:p>
        </w:tc>
        <w:tc>
          <w:tcPr>
            <w:tcW w:type="dxa" w:w="1400"/>
            <w:tcMar>
              <w:top w:type="dxa" w:w="80"/>
              <w:left w:type="dxa" w:w="120"/>
              <w:bottom w:type="dxa" w:w="80"/>
              <w:right w:type="dxa" w:w="120"/>
            </w:tcMar>
          </w:tcPr>
          <w:p>
            <w:pPr>
              <w:spacing w:after="0" w:line="252"/>
            </w:pPr>
            <w:r>
              <w:rPr>
                <w:rFonts w:ascii="Calibri" w:cs="Calibri" w:eastAsia="Calibri" w:hAnsi="Calibri"/>
                <w:sz w:val="19"/>
                <w:szCs w:val="19"/>
              </w:rPr>
              <w:t xml:space="preserve">Critical</w:t>
            </w:r>
          </w:p>
        </w:tc>
      </w:tr>
    </w:tbl>
    <w:p>
      <w:r>
        <w:br w:type="page"/>
      </w:r>
    </w:p>
    <w:p>
      <w:pPr>
        <w:pStyle w:val="Heading1"/>
        <w:spacing w:after="160" w:before="320"/>
      </w:pPr>
      <w:r>
        <w:rPr>
          <w:rFonts w:ascii="Calibri" w:cs="Calibri" w:eastAsia="Calibri" w:hAnsi="Calibri"/>
          <w:b/>
          <w:bCs/>
          <w:color w:val="1F4E79"/>
          <w:sz w:val="30"/>
          <w:szCs w:val="30"/>
        </w:rPr>
        <w:t xml:space="preserve">3. Dubai Regulatory Context</w:t>
      </w:r>
    </w:p>
    <w:p>
      <w:pPr>
        <w:spacing w:after="120" w:line="276"/>
      </w:pPr>
      <w:r>
        <w:rPr>
          <w:rFonts w:ascii="Calibri" w:cs="Calibri" w:eastAsia="Calibri" w:hAnsi="Calibri"/>
          <w:sz w:val="21"/>
          <w:szCs w:val="21"/>
        </w:rPr>
        <w:t xml:space="preserve">These rules shape the data model, so they are stated before the functional design. Figures were checked at the time of writing and should be confirmed with the Department of Economy and Tourism (DET) before build, as fees and deadlines change.</w:t>
      </w:r>
    </w:p>
    <w:p>
      <w:pPr>
        <w:pStyle w:val="Heading2"/>
        <w:spacing w:after="120" w:before="240"/>
      </w:pPr>
      <w:r>
        <w:rPr>
          <w:rFonts w:ascii="Calibri" w:cs="Calibri" w:eastAsia="Calibri" w:hAnsi="Calibri"/>
          <w:b/>
          <w:bCs/>
          <w:color w:val="1F4E79"/>
          <w:sz w:val="24"/>
          <w:szCs w:val="24"/>
        </w:rPr>
        <w:t xml:space="preserve">3.1 Obligations that the system must support</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626"/>
      </w:tblGrid>
      <w:tr>
        <w:trPr>
          <w:tblHeader/>
        </w:trPr>
        <w:tc>
          <w:tcPr>
            <w:tcW w:type="dxa" w:w="2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Obligation</w:t>
            </w:r>
          </w:p>
        </w:tc>
        <w:tc>
          <w:tcPr>
            <w:tcW w:type="dxa" w:w="66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means for the system</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Holiday home permit per unit</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Issued by DET under the holiday homes framework. One permit per apartment or villa. Store permit number, issue and expiry date, classification and the permit document. Alert well before expiry.</w:t>
            </w:r>
          </w:p>
        </w:tc>
      </w:tr>
      <w:tr>
        <w:tc>
          <w:tcPr>
            <w:tcW w:type="dxa" w:w="2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Annual renewal</w:t>
            </w:r>
          </w:p>
        </w:tc>
        <w:tc>
          <w:tcPr>
            <w:tcW w:type="dxa" w:w="6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Permits run for 12 months and do not renew automatically. The renewal window opens shortly before expiry and DET does not send reminders, so the system must.</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Supporting documents</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Title deed or tenancy contract, landlord NOC where the host is a tenant, building or community NOC, owner ID, and DEWA details. All belong in the document vault with their own expiry dates.</w:t>
            </w:r>
          </w:p>
        </w:tc>
      </w:tr>
      <w:tr>
        <w:tc>
          <w:tcPr>
            <w:tcW w:type="dxa" w:w="2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registration after check-in</w:t>
            </w:r>
          </w:p>
        </w:tc>
        <w:tc>
          <w:tcPr>
            <w:tcW w:type="dxa" w:w="6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Passport or Emirates ID for each guest uploaded to the DET Holiday Homes portal within a few hours of arrival. Model as a per-booking task with a deadline timestamp and confirmation reference.</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Tourism Dirham</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A per-occupied-bedroom, per-night charge whose rate depends on whether the unit is classified Standard or Deluxe. Accrue on every booking; file monthly.</w:t>
            </w:r>
          </w:p>
        </w:tc>
      </w:tr>
      <w:tr>
        <w:tc>
          <w:tcPr>
            <w:tcW w:type="dxa" w:w="2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Unit self-classification</w:t>
            </w:r>
          </w:p>
        </w:tc>
        <w:tc>
          <w:tcPr>
            <w:tcW w:type="dxa" w:w="6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Standard or Deluxe, declared at permit stage and maintained thereafter. Stored on the property; drives the Tourism Dirham rate.</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Permit display</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Printed permit displayed inside the unit and a QR code placed at the entrance. Store dated photographic evidence.</w:t>
            </w:r>
          </w:p>
        </w:tc>
      </w:tr>
      <w:tr>
        <w:tc>
          <w:tcPr>
            <w:tcW w:type="dxa" w:w="2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VAT</w:t>
            </w:r>
          </w:p>
        </w:tc>
        <w:tc>
          <w:tcPr>
            <w:tcW w:type="dxa" w:w="6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Short-term stays are treated as a taxable supply rather than exempt residential rent. Registration is mandatory above a turnover threshold, with voluntary registration available lower down. The system should track rolling 12-month turnover and flag the approach.</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Personal data protection</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Passport scans are sensitive personal data under UAE law. Requires lawful basis and consent, restricted access, encryption, a defined retention period and the ability to service data subject requests.</w:t>
            </w:r>
          </w:p>
        </w:tc>
      </w:tr>
    </w:tbl>
    <w:tbl>
      <w:tblPr>
        <w:tblW w:type="dxa" w:w="9026"/>
        <w:tblBorders>
          <w:top w:val="single" w:color="1F4E79" w:sz="4"/>
          <w:left w:val="single" w:color="1F4E79" w:sz="16"/>
          <w:bottom w:val="single" w:color="1F4E79" w:sz="4"/>
          <w:right w:val="single" w:color="1F4E79" w:sz="4"/>
          <w:insideH w:val="none"/>
          <w:insideV w:val="none"/>
        </w:tblBorders>
      </w:tblPr>
      <w:tblGrid>
        <w:gridCol w:w="9026"/>
      </w:tblGrid>
      <w:tr>
        <w:tc>
          <w:tcPr>
            <w:tcW w:type="dxa" w:w="9026"/>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Verify before you build</w:t>
            </w:r>
          </w:p>
          <w:p>
            <w:pPr>
              <w:spacing w:after="0"/>
            </w:pPr>
            <w:r>
              <w:rPr>
                <w:rFonts w:ascii="Calibri" w:cs="Calibri" w:eastAsia="Calibri" w:hAnsi="Calibri"/>
                <w:sz w:val="20"/>
                <w:szCs w:val="20"/>
              </w:rPr>
              <w:t xml:space="preserve">Published guidance disagreed on two points during research: the guest-registration deadline was stated variously as 3 hours and 24 hours after check-in, and sources differed on whether an annual permit renewal fee applies. Build to the stricter reading (3 hours) and confirm both with DET directly. Make the deadline a configuration value, not a hard-coded constant, so it can be changed without a code release.</w:t>
            </w:r>
          </w:p>
        </w:tc>
      </w:tr>
    </w:tbl>
    <w:p>
      <w:pPr>
        <w:pStyle w:val="Heading2"/>
        <w:spacing w:after="120" w:before="240"/>
      </w:pPr>
      <w:r>
        <w:rPr>
          <w:rFonts w:ascii="Calibri" w:cs="Calibri" w:eastAsia="Calibri" w:hAnsi="Calibri"/>
          <w:b/>
          <w:bCs/>
          <w:color w:val="1F4E79"/>
          <w:sz w:val="24"/>
          <w:szCs w:val="24"/>
        </w:rPr>
        <w:t xml:space="preserve">3.2 Design consequences</w:t>
      </w:r>
    </w:p>
    <w:p>
      <w:pPr>
        <w:pStyle w:val="ListParagraph"/>
        <w:numPr>
          <w:ilvl w:val="0"/>
          <w:numId w:val="2"/>
        </w:numPr>
        <w:spacing w:after="60" w:line="276"/>
      </w:pPr>
      <w:r>
        <w:rPr>
          <w:rFonts w:ascii="Calibri" w:cs="Calibri" w:eastAsia="Calibri" w:hAnsi="Calibri"/>
          <w:sz w:val="21"/>
          <w:szCs w:val="21"/>
        </w:rPr>
        <w:t xml:space="preserve">Bedroom count is a financial field, not a marketing field — it drives Tourism Dirham. Validate it.</w:t>
      </w:r>
    </w:p>
    <w:p>
      <w:pPr>
        <w:pStyle w:val="ListParagraph"/>
        <w:numPr>
          <w:ilvl w:val="0"/>
          <w:numId w:val="2"/>
        </w:numPr>
        <w:spacing w:after="60" w:line="276"/>
      </w:pPr>
      <w:r>
        <w:rPr>
          <w:rFonts w:ascii="Calibri" w:cs="Calibri" w:eastAsia="Calibri" w:hAnsi="Calibri"/>
          <w:sz w:val="21"/>
          <w:szCs w:val="21"/>
        </w:rPr>
        <w:t xml:space="preserve">Every confirmed booking automatically creates a guest registration task with a hard deadline and an owner.</w:t>
      </w:r>
    </w:p>
    <w:p>
      <w:pPr>
        <w:pStyle w:val="ListParagraph"/>
        <w:numPr>
          <w:ilvl w:val="0"/>
          <w:numId w:val="2"/>
        </w:numPr>
        <w:spacing w:after="60" w:line="276"/>
      </w:pPr>
      <w:r>
        <w:rPr>
          <w:rFonts w:ascii="Calibri" w:cs="Calibri" w:eastAsia="Calibri" w:hAnsi="Calibri"/>
          <w:sz w:val="21"/>
          <w:szCs w:val="21"/>
        </w:rPr>
        <w:t xml:space="preserve">Every property carries a document set with independent expiry dates; the system's compliance view is the union of them.</w:t>
      </w:r>
    </w:p>
    <w:p>
      <w:pPr>
        <w:pStyle w:val="ListParagraph"/>
        <w:numPr>
          <w:ilvl w:val="0"/>
          <w:numId w:val="2"/>
        </w:numPr>
        <w:spacing w:after="60" w:line="276"/>
      </w:pPr>
      <w:r>
        <w:rPr>
          <w:rFonts w:ascii="Calibri" w:cs="Calibri" w:eastAsia="Calibri" w:hAnsi="Calibri"/>
          <w:sz w:val="21"/>
          <w:szCs w:val="21"/>
        </w:rPr>
        <w:t xml:space="preserve">Passport images are stored separately from ordinary property photos, with stricter access control, encryption and a retention clock.</w:t>
      </w:r>
    </w:p>
    <w:p>
      <w:pPr>
        <w:pStyle w:val="ListParagraph"/>
        <w:numPr>
          <w:ilvl w:val="0"/>
          <w:numId w:val="2"/>
        </w:numPr>
        <w:spacing w:after="60" w:line="276"/>
      </w:pPr>
      <w:r>
        <w:rPr>
          <w:rFonts w:ascii="Calibri" w:cs="Calibri" w:eastAsia="Calibri" w:hAnsi="Calibri"/>
          <w:sz w:val="21"/>
          <w:szCs w:val="21"/>
        </w:rPr>
        <w:t xml:space="preserve">Tax and fee components are stored as discrete amounts on the booking so returns can be produced without recalculation.</w:t>
      </w:r>
    </w:p>
    <w:p>
      <w:r>
        <w:br w:type="page"/>
      </w:r>
    </w:p>
    <w:p>
      <w:pPr>
        <w:pStyle w:val="Heading1"/>
        <w:spacing w:after="160" w:before="320"/>
      </w:pPr>
      <w:r>
        <w:rPr>
          <w:rFonts w:ascii="Calibri" w:cs="Calibri" w:eastAsia="Calibri" w:hAnsi="Calibri"/>
          <w:b/>
          <w:bCs/>
          <w:color w:val="1F4E79"/>
          <w:sz w:val="30"/>
          <w:szCs w:val="30"/>
        </w:rPr>
        <w:t xml:space="preserve">4. Functional Specification</w:t>
      </w:r>
    </w:p>
    <w:p>
      <w:pPr>
        <w:pStyle w:val="Heading2"/>
        <w:spacing w:after="120" w:before="240"/>
      </w:pPr>
      <w:r>
        <w:rPr>
          <w:rFonts w:ascii="Calibri" w:cs="Calibri" w:eastAsia="Calibri" w:hAnsi="Calibri"/>
          <w:b/>
          <w:bCs/>
          <w:color w:val="1F4E79"/>
          <w:sz w:val="24"/>
          <w:szCs w:val="24"/>
        </w:rPr>
        <w:t xml:space="preserve">4.1 Property &amp; portfolio management</w:t>
      </w:r>
    </w:p>
    <w:p>
      <w:pPr>
        <w:spacing w:after="120" w:line="276"/>
      </w:pPr>
      <w:r>
        <w:rPr>
          <w:rFonts w:ascii="Calibri" w:cs="Calibri" w:eastAsia="Calibri" w:hAnsi="Calibri"/>
          <w:sz w:val="21"/>
          <w:szCs w:val="21"/>
        </w:rPr>
        <w:t xml:space="preserve">The property record is the spine of the system. Everything else references it.</w:t>
      </w:r>
    </w:p>
    <w:p>
      <w:pPr>
        <w:pStyle w:val="Heading3"/>
        <w:spacing w:after="100" w:before="180"/>
      </w:pPr>
      <w:r>
        <w:rPr>
          <w:rFonts w:ascii="Calibri" w:cs="Calibri" w:eastAsia="Calibri" w:hAnsi="Calibri"/>
          <w:b/>
          <w:bCs/>
          <w:color w:val="333333"/>
          <w:sz w:val="22"/>
          <w:szCs w:val="22"/>
        </w:rPr>
        <w:t xml:space="preserve">Core fields</w:t>
      </w:r>
    </w:p>
    <w:p>
      <w:pPr>
        <w:pStyle w:val="ListParagraph"/>
        <w:numPr>
          <w:ilvl w:val="0"/>
          <w:numId w:val="2"/>
        </w:numPr>
        <w:spacing w:after="60" w:line="276"/>
      </w:pPr>
      <w:r>
        <w:rPr>
          <w:rFonts w:ascii="Calibri" w:cs="Calibri" w:eastAsia="Calibri" w:hAnsi="Calibri"/>
          <w:sz w:val="21"/>
          <w:szCs w:val="21"/>
        </w:rPr>
        <w:t xml:space="preserve">Identity: reference code, display name, unit number, building, community, area, emirate, Makani number, GPS coordinates</w:t>
      </w:r>
    </w:p>
    <w:p>
      <w:pPr>
        <w:pStyle w:val="ListParagraph"/>
        <w:numPr>
          <w:ilvl w:val="0"/>
          <w:numId w:val="2"/>
        </w:numPr>
        <w:spacing w:after="60" w:line="276"/>
      </w:pPr>
      <w:r>
        <w:rPr>
          <w:rFonts w:ascii="Calibri" w:cs="Calibri" w:eastAsia="Calibri" w:hAnsi="Calibri"/>
          <w:sz w:val="21"/>
          <w:szCs w:val="21"/>
        </w:rPr>
        <w:t xml:space="preserve">Specification: property type, bedrooms, bathrooms, maximum occupancy, built-up area, floor, view, furnishing status</w:t>
      </w:r>
    </w:p>
    <w:p>
      <w:pPr>
        <w:pStyle w:val="ListParagraph"/>
        <w:numPr>
          <w:ilvl w:val="0"/>
          <w:numId w:val="2"/>
        </w:numPr>
        <w:spacing w:after="60" w:line="276"/>
      </w:pPr>
      <w:r>
        <w:rPr>
          <w:rFonts w:ascii="Calibri" w:cs="Calibri" w:eastAsia="Calibri" w:hAnsi="Calibri"/>
          <w:sz w:val="21"/>
          <w:szCs w:val="21"/>
        </w:rPr>
        <w:t xml:space="preserve">Classification: DET Standard or Deluxe, driving the Tourism Dirham rate</w:t>
      </w:r>
    </w:p>
    <w:p>
      <w:pPr>
        <w:pStyle w:val="ListParagraph"/>
        <w:numPr>
          <w:ilvl w:val="0"/>
          <w:numId w:val="2"/>
        </w:numPr>
        <w:spacing w:after="60" w:line="276"/>
      </w:pPr>
      <w:r>
        <w:rPr>
          <w:rFonts w:ascii="Calibri" w:cs="Calibri" w:eastAsia="Calibri" w:hAnsi="Calibri"/>
          <w:sz w:val="21"/>
          <w:szCs w:val="21"/>
        </w:rPr>
        <w:t xml:space="preserve">Status: active, inactive, under maintenance, being sold</w:t>
      </w:r>
    </w:p>
    <w:p>
      <w:pPr>
        <w:pStyle w:val="ListParagraph"/>
        <w:numPr>
          <w:ilvl w:val="0"/>
          <w:numId w:val="2"/>
        </w:numPr>
        <w:spacing w:after="60" w:line="276"/>
      </w:pPr>
      <w:r>
        <w:rPr>
          <w:rFonts w:ascii="Calibri" w:cs="Calibri" w:eastAsia="Calibri" w:hAnsi="Calibri"/>
          <w:sz w:val="21"/>
          <w:szCs w:val="21"/>
        </w:rPr>
        <w:t xml:space="preserve">Media: ordered photo gallery with cover image, captions and room tagging; optional floor plan and video tour</w:t>
      </w:r>
    </w:p>
    <w:p>
      <w:pPr>
        <w:pStyle w:val="ListParagraph"/>
        <w:numPr>
          <w:ilvl w:val="0"/>
          <w:numId w:val="2"/>
        </w:numPr>
        <w:spacing w:after="60" w:line="276"/>
      </w:pPr>
      <w:r>
        <w:rPr>
          <w:rFonts w:ascii="Calibri" w:cs="Calibri" w:eastAsia="Calibri" w:hAnsi="Calibri"/>
          <w:sz w:val="21"/>
          <w:szCs w:val="21"/>
        </w:rPr>
        <w:t xml:space="preserve">Amenities: structured, multi-select, so listings can be generated consistently</w:t>
      </w:r>
    </w:p>
    <w:p>
      <w:pPr>
        <w:pStyle w:val="ListParagraph"/>
        <w:numPr>
          <w:ilvl w:val="0"/>
          <w:numId w:val="2"/>
        </w:numPr>
        <w:spacing w:after="60" w:line="276"/>
      </w:pPr>
      <w:r>
        <w:rPr>
          <w:rFonts w:ascii="Calibri" w:cs="Calibri" w:eastAsia="Calibri" w:hAnsi="Calibri"/>
          <w:sz w:val="21"/>
          <w:szCs w:val="21"/>
        </w:rPr>
        <w:t xml:space="preserve">Access: door code or smart lock reference, parking bay, number of access cards issued, WiFi network and password</w:t>
      </w:r>
    </w:p>
    <w:p>
      <w:pPr>
        <w:pStyle w:val="Heading3"/>
        <w:spacing w:after="100" w:before="180"/>
      </w:pPr>
      <w:r>
        <w:rPr>
          <w:rFonts w:ascii="Calibri" w:cs="Calibri" w:eastAsia="Calibri" w:hAnsi="Calibri"/>
          <w:b/>
          <w:bCs/>
          <w:color w:val="333333"/>
          <w:sz w:val="22"/>
          <w:szCs w:val="22"/>
        </w:rPr>
        <w:t xml:space="preserve">Ownership and legal</w:t>
      </w:r>
    </w:p>
    <w:p>
      <w:pPr>
        <w:pStyle w:val="ListParagraph"/>
        <w:numPr>
          <w:ilvl w:val="0"/>
          <w:numId w:val="2"/>
        </w:numPr>
        <w:spacing w:after="60" w:line="276"/>
      </w:pPr>
      <w:r>
        <w:rPr>
          <w:rFonts w:ascii="Calibri" w:cs="Calibri" w:eastAsia="Calibri" w:hAnsi="Calibri"/>
          <w:sz w:val="21"/>
          <w:szCs w:val="21"/>
        </w:rPr>
        <w:t xml:space="preserve">Owner: name, ID type and number, nationality, mobile, email, address, bank details for payouts</w:t>
      </w:r>
    </w:p>
    <w:p>
      <w:pPr>
        <w:pStyle w:val="ListParagraph"/>
        <w:numPr>
          <w:ilvl w:val="0"/>
          <w:numId w:val="2"/>
        </w:numPr>
        <w:spacing w:after="60" w:line="276"/>
      </w:pPr>
      <w:r>
        <w:rPr>
          <w:rFonts w:ascii="Calibri" w:cs="Calibri" w:eastAsia="Calibri" w:hAnsi="Calibri"/>
          <w:sz w:val="21"/>
          <w:szCs w:val="21"/>
        </w:rPr>
        <w:t xml:space="preserve">Ownership basis: owned outright, mortgaged, or held on a lease that permits sub-letting</w:t>
      </w:r>
    </w:p>
    <w:p>
      <w:pPr>
        <w:pStyle w:val="ListParagraph"/>
        <w:numPr>
          <w:ilvl w:val="0"/>
          <w:numId w:val="2"/>
        </w:numPr>
        <w:spacing w:after="60" w:line="276"/>
      </w:pPr>
      <w:r>
        <w:rPr>
          <w:rFonts w:ascii="Calibri" w:cs="Calibri" w:eastAsia="Calibri" w:hAnsi="Calibri"/>
          <w:sz w:val="21"/>
          <w:szCs w:val="21"/>
        </w:rPr>
        <w:t xml:space="preserve">Title deed: number, issue date, scanned document</w:t>
      </w:r>
    </w:p>
    <w:p>
      <w:pPr>
        <w:pStyle w:val="ListParagraph"/>
        <w:numPr>
          <w:ilvl w:val="0"/>
          <w:numId w:val="2"/>
        </w:numPr>
        <w:spacing w:after="60" w:line="276"/>
      </w:pPr>
      <w:r>
        <w:rPr>
          <w:rFonts w:ascii="Calibri" w:cs="Calibri" w:eastAsia="Calibri" w:hAnsi="Calibri"/>
          <w:sz w:val="21"/>
          <w:szCs w:val="21"/>
        </w:rPr>
        <w:t xml:space="preserve">Where the host is a tenant: tenancy contract, Ejari registration, landlord NOC with expiry</w:t>
      </w:r>
    </w:p>
    <w:p>
      <w:pPr>
        <w:pStyle w:val="Heading3"/>
        <w:spacing w:after="100" w:before="180"/>
      </w:pPr>
      <w:r>
        <w:rPr>
          <w:rFonts w:ascii="Calibri" w:cs="Calibri" w:eastAsia="Calibri" w:hAnsi="Calibri"/>
          <w:b/>
          <w:bCs/>
          <w:color w:val="333333"/>
          <w:sz w:val="22"/>
          <w:szCs w:val="22"/>
        </w:rPr>
        <w:t xml:space="preserve">Utilities and recurring accounts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426"/>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Account type</w:t>
            </w:r>
          </w:p>
        </w:tc>
        <w:tc>
          <w:tcPr>
            <w:tcW w:type="dxa" w:w="64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Fields to capture</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DEWA (water &amp; electricity)</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Account number, premise number, billing cycle, average monthly cost, auto-pay status, latest bill document</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District cooling / chiller</w:t>
            </w:r>
          </w:p>
        </w:tc>
        <w:tc>
          <w:tcPr>
            <w:tcW w:type="dxa" w:w="64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Provider, account number, whether the charge is landlord- or tenant-borne, capacity charge, consumption charge</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Internet &amp; TV</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Provider, account number, plan, speed, monthly cost, contract end date, router location</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Gas</w:t>
            </w:r>
          </w:p>
        </w:tc>
        <w:tc>
          <w:tcPr>
            <w:tcW w:type="dxa" w:w="64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Provider and account number where applicable</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Service charge / community fee</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Managing body, amount, billing frequency, payment status</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Insurance</w:t>
            </w:r>
          </w:p>
        </w:tc>
        <w:tc>
          <w:tcPr>
            <w:tcW w:type="dxa" w:w="64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Insurer, policy number, cover type, sum insured, expiry date</w:t>
            </w:r>
          </w:p>
        </w:tc>
      </w:tr>
    </w:tbl>
    <w:p>
      <w:pPr>
        <w:pStyle w:val="Heading2"/>
        <w:spacing w:after="120" w:before="240"/>
      </w:pPr>
      <w:r>
        <w:rPr>
          <w:rFonts w:ascii="Calibri" w:cs="Calibri" w:eastAsia="Calibri" w:hAnsi="Calibri"/>
          <w:b/>
          <w:bCs/>
          <w:color w:val="1F4E79"/>
          <w:sz w:val="24"/>
          <w:szCs w:val="24"/>
        </w:rPr>
        <w:t xml:space="preserve">4.2 Compliance &amp; document vault</w:t>
      </w:r>
    </w:p>
    <w:p>
      <w:pPr>
        <w:spacing w:after="120" w:line="276"/>
      </w:pPr>
      <w:r>
        <w:rPr>
          <w:rFonts w:ascii="Calibri" w:cs="Calibri" w:eastAsia="Calibri" w:hAnsi="Calibri"/>
          <w:sz w:val="21"/>
          <w:szCs w:val="21"/>
        </w:rPr>
        <w:t xml:space="preserve">A single repository for every document with a lifecycle, plus the dashboard that watches them.</w:t>
      </w:r>
    </w:p>
    <w:p>
      <w:pPr>
        <w:pStyle w:val="ListParagraph"/>
        <w:numPr>
          <w:ilvl w:val="0"/>
          <w:numId w:val="2"/>
        </w:numPr>
        <w:spacing w:after="60" w:line="276"/>
      </w:pPr>
      <w:r>
        <w:rPr>
          <w:rFonts w:ascii="Calibri" w:cs="Calibri" w:eastAsia="Calibri" w:hAnsi="Calibri"/>
          <w:sz w:val="21"/>
          <w:szCs w:val="21"/>
        </w:rPr>
        <w:t xml:space="preserve">Document types: title deed, tenancy contract, Ejari, landlord NOC, building NOC, DET permit, trade licence, insurance policy, utility contract, inspection certificate</w:t>
      </w:r>
    </w:p>
    <w:p>
      <w:pPr>
        <w:pStyle w:val="ListParagraph"/>
        <w:numPr>
          <w:ilvl w:val="0"/>
          <w:numId w:val="2"/>
        </w:numPr>
        <w:spacing w:after="60" w:line="276"/>
      </w:pPr>
      <w:r>
        <w:rPr>
          <w:rFonts w:ascii="Calibri" w:cs="Calibri" w:eastAsia="Calibri" w:hAnsi="Calibri"/>
          <w:sz w:val="21"/>
          <w:szCs w:val="21"/>
        </w:rPr>
        <w:t xml:space="preserve">Per document: type, reference number, issuing authority, issue date, expiry date, linked property, file, upload timestamp and uploader</w:t>
      </w:r>
    </w:p>
    <w:p>
      <w:pPr>
        <w:pStyle w:val="ListParagraph"/>
        <w:numPr>
          <w:ilvl w:val="0"/>
          <w:numId w:val="2"/>
        </w:numPr>
        <w:spacing w:after="60" w:line="276"/>
      </w:pPr>
      <w:r>
        <w:rPr>
          <w:rFonts w:ascii="Calibri" w:cs="Calibri" w:eastAsia="Calibri" w:hAnsi="Calibri"/>
          <w:sz w:val="21"/>
          <w:szCs w:val="21"/>
        </w:rPr>
        <w:t xml:space="preserve">Alerting at 90, 60, 30 and 7 days before expiry, escalating by channel as the date closes</w:t>
      </w:r>
    </w:p>
    <w:p>
      <w:pPr>
        <w:pStyle w:val="ListParagraph"/>
        <w:numPr>
          <w:ilvl w:val="0"/>
          <w:numId w:val="2"/>
        </w:numPr>
        <w:spacing w:after="60" w:line="276"/>
      </w:pPr>
      <w:r>
        <w:rPr>
          <w:rFonts w:ascii="Calibri" w:cs="Calibri" w:eastAsia="Calibri" w:hAnsi="Calibri"/>
          <w:sz w:val="21"/>
          <w:szCs w:val="21"/>
        </w:rPr>
        <w:t xml:space="preserve">Compliance dashboard showing a traffic-light status per property, so an at-risk unit is visible in one glance</w:t>
      </w:r>
    </w:p>
    <w:p>
      <w:pPr>
        <w:pStyle w:val="ListParagraph"/>
        <w:numPr>
          <w:ilvl w:val="0"/>
          <w:numId w:val="2"/>
        </w:numPr>
        <w:spacing w:after="60" w:line="276"/>
      </w:pPr>
      <w:r>
        <w:rPr>
          <w:rFonts w:ascii="Calibri" w:cs="Calibri" w:eastAsia="Calibri" w:hAnsi="Calibri"/>
          <w:sz w:val="21"/>
          <w:szCs w:val="21"/>
        </w:rPr>
        <w:t xml:space="preserve">Blocking rule: a unit whose permit has expired cannot accept new confirmed bookings without an explicit, logged override</w:t>
      </w:r>
    </w:p>
    <w:p>
      <w:pPr>
        <w:pStyle w:val="Heading2"/>
        <w:spacing w:after="120" w:before="240"/>
      </w:pPr>
      <w:r>
        <w:rPr>
          <w:rFonts w:ascii="Calibri" w:cs="Calibri" w:eastAsia="Calibri" w:hAnsi="Calibri"/>
          <w:b/>
          <w:bCs/>
          <w:color w:val="1F4E79"/>
          <w:sz w:val="24"/>
          <w:szCs w:val="24"/>
        </w:rPr>
        <w:t xml:space="preserve">4.3 Guest CRM</w:t>
      </w:r>
    </w:p>
    <w:p>
      <w:pPr>
        <w:spacing w:after="120" w:line="276"/>
      </w:pPr>
      <w:r>
        <w:rPr>
          <w:rFonts w:ascii="Calibri" w:cs="Calibri" w:eastAsia="Calibri" w:hAnsi="Calibri"/>
          <w:sz w:val="21"/>
          <w:szCs w:val="21"/>
        </w:rPr>
        <w:t xml:space="preserve">Guests are people who may return, not just rows attached to a booking.</w:t>
      </w:r>
    </w:p>
    <w:p>
      <w:pPr>
        <w:pStyle w:val="Heading3"/>
        <w:spacing w:after="100" w:before="180"/>
      </w:pPr>
      <w:r>
        <w:rPr>
          <w:rFonts w:ascii="Calibri" w:cs="Calibri" w:eastAsia="Calibri" w:hAnsi="Calibri"/>
          <w:b/>
          <w:bCs/>
          <w:color w:val="333333"/>
          <w:sz w:val="22"/>
          <w:szCs w:val="22"/>
        </w:rPr>
        <w:t xml:space="preserve">Guest profile</w:t>
      </w:r>
    </w:p>
    <w:p>
      <w:pPr>
        <w:pStyle w:val="ListParagraph"/>
        <w:numPr>
          <w:ilvl w:val="0"/>
          <w:numId w:val="2"/>
        </w:numPr>
        <w:spacing w:after="60" w:line="276"/>
      </w:pPr>
      <w:r>
        <w:rPr>
          <w:rFonts w:ascii="Calibri" w:cs="Calibri" w:eastAsia="Calibri" w:hAnsi="Calibri"/>
          <w:sz w:val="21"/>
          <w:szCs w:val="21"/>
        </w:rPr>
        <w:t xml:space="preserve">Identity: full name as per travel document, nationality, date of birth, gender</w:t>
      </w:r>
    </w:p>
    <w:p>
      <w:pPr>
        <w:pStyle w:val="ListParagraph"/>
        <w:numPr>
          <w:ilvl w:val="0"/>
          <w:numId w:val="2"/>
        </w:numPr>
        <w:spacing w:after="60" w:line="276"/>
      </w:pPr>
      <w:r>
        <w:rPr>
          <w:rFonts w:ascii="Calibri" w:cs="Calibri" w:eastAsia="Calibri" w:hAnsi="Calibri"/>
          <w:sz w:val="21"/>
          <w:szCs w:val="21"/>
        </w:rPr>
        <w:t xml:space="preserve">Document: type (passport, Emirates ID, GCC national ID), number, issuing country, expiry date, scanned image</w:t>
      </w:r>
    </w:p>
    <w:p>
      <w:pPr>
        <w:pStyle w:val="ListParagraph"/>
        <w:numPr>
          <w:ilvl w:val="0"/>
          <w:numId w:val="2"/>
        </w:numPr>
        <w:spacing w:after="60" w:line="276"/>
      </w:pPr>
      <w:r>
        <w:rPr>
          <w:rFonts w:ascii="Calibri" w:cs="Calibri" w:eastAsia="Calibri" w:hAnsi="Calibri"/>
          <w:sz w:val="21"/>
          <w:szCs w:val="21"/>
        </w:rPr>
        <w:t xml:space="preserve">Contact: mobile with country code, email, WhatsApp number, home address</w:t>
      </w:r>
    </w:p>
    <w:p>
      <w:pPr>
        <w:pStyle w:val="ListParagraph"/>
        <w:numPr>
          <w:ilvl w:val="0"/>
          <w:numId w:val="2"/>
        </w:numPr>
        <w:spacing w:after="60" w:line="276"/>
      </w:pPr>
      <w:r>
        <w:rPr>
          <w:rFonts w:ascii="Calibri" w:cs="Calibri" w:eastAsia="Calibri" w:hAnsi="Calibri"/>
          <w:sz w:val="21"/>
          <w:szCs w:val="21"/>
        </w:rPr>
        <w:t xml:space="preserve">Preferences and notes: dietary needs, accessibility requirements, early check-in requests, free-text internal notes</w:t>
      </w:r>
    </w:p>
    <w:p>
      <w:pPr>
        <w:pStyle w:val="ListParagraph"/>
        <w:numPr>
          <w:ilvl w:val="0"/>
          <w:numId w:val="2"/>
        </w:numPr>
        <w:spacing w:after="60" w:line="276"/>
      </w:pPr>
      <w:r>
        <w:rPr>
          <w:rFonts w:ascii="Calibri" w:cs="Calibri" w:eastAsia="Calibri" w:hAnsi="Calibri"/>
          <w:sz w:val="21"/>
          <w:szCs w:val="21"/>
        </w:rPr>
        <w:t xml:space="preserve">History: all past and upcoming bookings, total spend, number of stays, average rating given and received</w:t>
      </w:r>
    </w:p>
    <w:p>
      <w:pPr>
        <w:pStyle w:val="ListParagraph"/>
        <w:numPr>
          <w:ilvl w:val="0"/>
          <w:numId w:val="2"/>
        </w:numPr>
        <w:spacing w:after="60" w:line="276"/>
      </w:pPr>
      <w:r>
        <w:rPr>
          <w:rFonts w:ascii="Calibri" w:cs="Calibri" w:eastAsia="Calibri" w:hAnsi="Calibri"/>
          <w:sz w:val="21"/>
          <w:szCs w:val="21"/>
        </w:rPr>
        <w:t xml:space="preserve">Status flags: verified, VIP, blocked with reason</w:t>
      </w:r>
    </w:p>
    <w:p>
      <w:pPr>
        <w:pStyle w:val="ListParagraph"/>
        <w:numPr>
          <w:ilvl w:val="0"/>
          <w:numId w:val="2"/>
        </w:numPr>
        <w:spacing w:after="60" w:line="276"/>
      </w:pPr>
      <w:r>
        <w:rPr>
          <w:rFonts w:ascii="Calibri" w:cs="Calibri" w:eastAsia="Calibri" w:hAnsi="Calibri"/>
          <w:sz w:val="21"/>
          <w:szCs w:val="21"/>
        </w:rPr>
        <w:t xml:space="preserve">Consent record: what the guest agreed to, when, and the version of the privacy notice shown</w:t>
      </w:r>
    </w:p>
    <w:p>
      <w:pPr>
        <w:pStyle w:val="Heading3"/>
        <w:spacing w:after="100" w:before="180"/>
      </w:pPr>
      <w:r>
        <w:rPr>
          <w:rFonts w:ascii="Calibri" w:cs="Calibri" w:eastAsia="Calibri" w:hAnsi="Calibri"/>
          <w:b/>
          <w:bCs/>
          <w:color w:val="333333"/>
          <w:sz w:val="22"/>
          <w:szCs w:val="22"/>
        </w:rPr>
        <w:t xml:space="preserve">Additional occupants</w:t>
      </w:r>
    </w:p>
    <w:p>
      <w:pPr>
        <w:spacing w:after="120" w:line="276"/>
      </w:pPr>
      <w:r>
        <w:rPr>
          <w:rFonts w:ascii="Calibri" w:cs="Calibri" w:eastAsia="Calibri" w:hAnsi="Calibri"/>
          <w:sz w:val="21"/>
          <w:szCs w:val="21"/>
        </w:rPr>
        <w:t xml:space="preserve">A booking may cover several people and Dubai requires identification for guests, not only the lead booker. The system therefore models a booking-to-guest relationship: one lead guest who pays, plus additional occupants each with their own identity document. Children may be recorded with reduced fields.</w:t>
      </w:r>
    </w:p>
    <w:p>
      <w:pPr>
        <w:pStyle w:val="Heading3"/>
        <w:spacing w:after="100" w:before="180"/>
      </w:pPr>
      <w:r>
        <w:rPr>
          <w:rFonts w:ascii="Calibri" w:cs="Calibri" w:eastAsia="Calibri" w:hAnsi="Calibri"/>
          <w:b/>
          <w:bCs/>
          <w:color w:val="333333"/>
          <w:sz w:val="22"/>
          <w:szCs w:val="22"/>
        </w:rPr>
        <w:t xml:space="preserve">Lifecycle</w:t>
      </w:r>
    </w:p>
    <w:p>
      <w:pPr>
        <w:pStyle w:val="ListParagraph"/>
        <w:numPr>
          <w:ilvl w:val="0"/>
          <w:numId w:val="2"/>
        </w:numPr>
        <w:spacing w:after="60" w:line="276"/>
      </w:pPr>
      <w:r>
        <w:rPr>
          <w:rFonts w:ascii="Calibri" w:cs="Calibri" w:eastAsia="Calibri" w:hAnsi="Calibri"/>
          <w:sz w:val="21"/>
          <w:szCs w:val="21"/>
        </w:rPr>
        <w:t xml:space="preserve">Enquiry captured with source, dates, party size and budget</w:t>
      </w:r>
    </w:p>
    <w:p>
      <w:pPr>
        <w:pStyle w:val="ListParagraph"/>
        <w:numPr>
          <w:ilvl w:val="0"/>
          <w:numId w:val="2"/>
        </w:numPr>
        <w:spacing w:after="60" w:line="276"/>
      </w:pPr>
      <w:r>
        <w:rPr>
          <w:rFonts w:ascii="Calibri" w:cs="Calibri" w:eastAsia="Calibri" w:hAnsi="Calibri"/>
          <w:sz w:val="21"/>
          <w:szCs w:val="21"/>
        </w:rPr>
        <w:t xml:space="preserve">Quotation issued with a validity period</w:t>
      </w:r>
    </w:p>
    <w:p>
      <w:pPr>
        <w:pStyle w:val="ListParagraph"/>
        <w:numPr>
          <w:ilvl w:val="0"/>
          <w:numId w:val="2"/>
        </w:numPr>
        <w:spacing w:after="60" w:line="276"/>
      </w:pPr>
      <w:r>
        <w:rPr>
          <w:rFonts w:ascii="Calibri" w:cs="Calibri" w:eastAsia="Calibri" w:hAnsi="Calibri"/>
          <w:sz w:val="21"/>
          <w:szCs w:val="21"/>
        </w:rPr>
        <w:t xml:space="preserve">Conversion to booking, or marked lost with a reason for later analysis</w:t>
      </w:r>
    </w:p>
    <w:p>
      <w:pPr>
        <w:pStyle w:val="ListParagraph"/>
        <w:numPr>
          <w:ilvl w:val="0"/>
          <w:numId w:val="2"/>
        </w:numPr>
        <w:spacing w:after="60" w:line="276"/>
      </w:pPr>
      <w:r>
        <w:rPr>
          <w:rFonts w:ascii="Calibri" w:cs="Calibri" w:eastAsia="Calibri" w:hAnsi="Calibri"/>
          <w:sz w:val="21"/>
          <w:szCs w:val="21"/>
        </w:rPr>
        <w:t xml:space="preserve">Post-stay follow-up, review request and repeat-booking offer</w:t>
      </w:r>
    </w:p>
    <w:p>
      <w:pPr>
        <w:pStyle w:val="Heading2"/>
        <w:spacing w:after="120" w:before="240"/>
      </w:pPr>
      <w:r>
        <w:rPr>
          <w:rFonts w:ascii="Calibri" w:cs="Calibri" w:eastAsia="Calibri" w:hAnsi="Calibri"/>
          <w:b/>
          <w:bCs/>
          <w:color w:val="1F4E79"/>
          <w:sz w:val="24"/>
          <w:szCs w:val="24"/>
        </w:rPr>
        <w:t xml:space="preserve">4.4 Booking engine &amp; calendar</w:t>
      </w:r>
    </w:p>
    <w:p>
      <w:pPr>
        <w:pStyle w:val="Heading3"/>
        <w:spacing w:after="100" w:before="180"/>
      </w:pPr>
      <w:r>
        <w:rPr>
          <w:rFonts w:ascii="Calibri" w:cs="Calibri" w:eastAsia="Calibri" w:hAnsi="Calibri"/>
          <w:b/>
          <w:bCs/>
          <w:color w:val="333333"/>
          <w:sz w:val="22"/>
          <w:szCs w:val="22"/>
        </w:rPr>
        <w:t xml:space="preserve">Booking record</w:t>
      </w:r>
    </w:p>
    <w:p>
      <w:pPr>
        <w:pStyle w:val="ListParagraph"/>
        <w:numPr>
          <w:ilvl w:val="0"/>
          <w:numId w:val="2"/>
        </w:numPr>
        <w:spacing w:after="60" w:line="276"/>
      </w:pPr>
      <w:r>
        <w:rPr>
          <w:rFonts w:ascii="Calibri" w:cs="Calibri" w:eastAsia="Calibri" w:hAnsi="Calibri"/>
          <w:sz w:val="21"/>
          <w:szCs w:val="21"/>
        </w:rPr>
        <w:t xml:space="preserve">References: booking number, property, lead guest, additional occupants, source channel</w:t>
      </w:r>
    </w:p>
    <w:p>
      <w:pPr>
        <w:pStyle w:val="ListParagraph"/>
        <w:numPr>
          <w:ilvl w:val="0"/>
          <w:numId w:val="2"/>
        </w:numPr>
        <w:spacing w:after="60" w:line="276"/>
      </w:pPr>
      <w:r>
        <w:rPr>
          <w:rFonts w:ascii="Calibri" w:cs="Calibri" w:eastAsia="Calibri" w:hAnsi="Calibri"/>
          <w:sz w:val="21"/>
          <w:szCs w:val="21"/>
        </w:rPr>
        <w:t xml:space="preserve">Dates: check-in date and time, check-out date and time, nights, early or late requests</w:t>
      </w:r>
    </w:p>
    <w:p>
      <w:pPr>
        <w:pStyle w:val="ListParagraph"/>
        <w:numPr>
          <w:ilvl w:val="0"/>
          <w:numId w:val="2"/>
        </w:numPr>
        <w:spacing w:after="60" w:line="276"/>
      </w:pPr>
      <w:r>
        <w:rPr>
          <w:rFonts w:ascii="Calibri" w:cs="Calibri" w:eastAsia="Calibri" w:hAnsi="Calibri"/>
          <w:sz w:val="21"/>
          <w:szCs w:val="21"/>
        </w:rPr>
        <w:t xml:space="preserve">Party: adults, children, infants, occupied bedrooms — the last drives Tourism Dirham</w:t>
      </w:r>
    </w:p>
    <w:p>
      <w:pPr>
        <w:pStyle w:val="ListParagraph"/>
        <w:numPr>
          <w:ilvl w:val="0"/>
          <w:numId w:val="2"/>
        </w:numPr>
        <w:spacing w:after="60" w:line="276"/>
      </w:pPr>
      <w:r>
        <w:rPr>
          <w:rFonts w:ascii="Calibri" w:cs="Calibri" w:eastAsia="Calibri" w:hAnsi="Calibri"/>
          <w:sz w:val="21"/>
          <w:szCs w:val="21"/>
        </w:rPr>
        <w:t xml:space="preserve">Money: nightly rate, nights subtotal, cleaning fee, extra guest fee, discount, Tourism Dirham, VAT, total, deposit, balance and due dates</w:t>
      </w:r>
    </w:p>
    <w:p>
      <w:pPr>
        <w:pStyle w:val="ListParagraph"/>
        <w:numPr>
          <w:ilvl w:val="0"/>
          <w:numId w:val="2"/>
        </w:numPr>
        <w:spacing w:after="60" w:line="276"/>
      </w:pPr>
      <w:r>
        <w:rPr>
          <w:rFonts w:ascii="Calibri" w:cs="Calibri" w:eastAsia="Calibri" w:hAnsi="Calibri"/>
          <w:sz w:val="21"/>
          <w:szCs w:val="21"/>
        </w:rPr>
        <w:t xml:space="preserve">Status: enquiry, tentative hold with expiry, confirmed, checked in, checked out, cancelled, no-show</w:t>
      </w:r>
    </w:p>
    <w:p>
      <w:pPr>
        <w:pStyle w:val="ListParagraph"/>
        <w:numPr>
          <w:ilvl w:val="0"/>
          <w:numId w:val="2"/>
        </w:numPr>
        <w:spacing w:after="60" w:line="276"/>
      </w:pPr>
      <w:r>
        <w:rPr>
          <w:rFonts w:ascii="Calibri" w:cs="Calibri" w:eastAsia="Calibri" w:hAnsi="Calibri"/>
          <w:sz w:val="21"/>
          <w:szCs w:val="21"/>
        </w:rPr>
        <w:t xml:space="preserve">Compliance: DET registration status, submission timestamp, deadline, reference number</w:t>
      </w:r>
    </w:p>
    <w:p>
      <w:pPr>
        <w:pStyle w:val="ListParagraph"/>
        <w:numPr>
          <w:ilvl w:val="0"/>
          <w:numId w:val="2"/>
        </w:numPr>
        <w:spacing w:after="60" w:line="276"/>
      </w:pPr>
      <w:r>
        <w:rPr>
          <w:rFonts w:ascii="Calibri" w:cs="Calibri" w:eastAsia="Calibri" w:hAnsi="Calibri"/>
          <w:sz w:val="21"/>
          <w:szCs w:val="21"/>
        </w:rPr>
        <w:t xml:space="preserve">Operations: cleaning task, access code issued, special instructions</w:t>
      </w:r>
    </w:p>
    <w:p>
      <w:pPr>
        <w:pStyle w:val="Heading3"/>
        <w:spacing w:after="100" w:before="180"/>
      </w:pPr>
      <w:r>
        <w:rPr>
          <w:rFonts w:ascii="Calibri" w:cs="Calibri" w:eastAsia="Calibri" w:hAnsi="Calibri"/>
          <w:b/>
          <w:bCs/>
          <w:color w:val="333333"/>
          <w:sz w:val="22"/>
          <w:szCs w:val="22"/>
        </w:rPr>
        <w:t xml:space="preserve">Calendar views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400"/>
        <w:gridCol w:w="6626"/>
      </w:tblGrid>
      <w:tr>
        <w:trPr>
          <w:tblHeader/>
        </w:trPr>
        <w:tc>
          <w:tcPr>
            <w:tcW w:type="dxa" w:w="24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View</w:t>
            </w:r>
          </w:p>
        </w:tc>
        <w:tc>
          <w:tcPr>
            <w:tcW w:type="dxa" w:w="66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Purpose</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Multi-property timeline</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The primary screen you described: properties as rows, dates as columns, each booking a bar showing guest name and rate. Colour-coded by status. Drag to move or extend a booking.</w:t>
            </w:r>
          </w:p>
        </w:tc>
      </w:tr>
      <w:tr>
        <w:tc>
          <w:tcPr>
            <w:tcW w:type="dxa" w:w="2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Single-property month</w:t>
            </w:r>
          </w:p>
        </w:tc>
        <w:tc>
          <w:tcPr>
            <w:tcW w:type="dxa" w:w="6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Per-unit month grid with nightly rate and availability shown on each date.</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Arrivals &amp; departures</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Today and tomorrow: who is arriving, who is leaving, which units need turning over.</w:t>
            </w:r>
          </w:p>
        </w:tc>
      </w:tr>
      <w:tr>
        <w:tc>
          <w:tcPr>
            <w:tcW w:type="dxa" w:w="24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Housekeeping</w:t>
            </w:r>
          </w:p>
        </w:tc>
        <w:tc>
          <w:tcPr>
            <w:tcW w:type="dxa" w:w="6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Cleaning tasks by date and assignee, flagging same-day turnovers.</w:t>
            </w:r>
          </w:p>
        </w:tc>
      </w:tr>
      <w:tr>
        <w:tc>
          <w:tcPr>
            <w:tcW w:type="dxa" w:w="2400"/>
            <w:tcMar>
              <w:top w:type="dxa" w:w="80"/>
              <w:left w:type="dxa" w:w="120"/>
              <w:bottom w:type="dxa" w:w="80"/>
              <w:right w:type="dxa" w:w="120"/>
            </w:tcMar>
          </w:tcPr>
          <w:p>
            <w:pPr>
              <w:spacing w:after="0" w:line="252"/>
            </w:pPr>
            <w:r>
              <w:rPr>
                <w:rFonts w:ascii="Calibri" w:cs="Calibri" w:eastAsia="Calibri" w:hAnsi="Calibri"/>
                <w:sz w:val="19"/>
                <w:szCs w:val="19"/>
              </w:rPr>
              <w:t xml:space="preserve">Occupancy heatmap</w:t>
            </w:r>
          </w:p>
        </w:tc>
        <w:tc>
          <w:tcPr>
            <w:tcW w:type="dxa" w:w="6626"/>
            <w:tcMar>
              <w:top w:type="dxa" w:w="80"/>
              <w:left w:type="dxa" w:w="120"/>
              <w:bottom w:type="dxa" w:w="80"/>
              <w:right w:type="dxa" w:w="120"/>
            </w:tcMar>
          </w:tcPr>
          <w:p>
            <w:pPr>
              <w:spacing w:after="0" w:line="252"/>
            </w:pPr>
            <w:r>
              <w:rPr>
                <w:rFonts w:ascii="Calibri" w:cs="Calibri" w:eastAsia="Calibri" w:hAnsi="Calibri"/>
                <w:sz w:val="19"/>
                <w:szCs w:val="19"/>
              </w:rPr>
              <w:t xml:space="preserve">Occupancy by unit over time, for spotting weak periods worth repricing.</w:t>
            </w:r>
          </w:p>
        </w:tc>
      </w:tr>
    </w:tbl>
    <w:p>
      <w:pPr>
        <w:pStyle w:val="Heading3"/>
        <w:spacing w:after="100" w:before="180"/>
      </w:pPr>
      <w:r>
        <w:rPr>
          <w:rFonts w:ascii="Calibri" w:cs="Calibri" w:eastAsia="Calibri" w:hAnsi="Calibri"/>
          <w:b/>
          <w:bCs/>
          <w:color w:val="333333"/>
          <w:sz w:val="22"/>
          <w:szCs w:val="22"/>
        </w:rPr>
        <w:t xml:space="preserve">Booking rules</w:t>
      </w:r>
    </w:p>
    <w:p>
      <w:pPr>
        <w:pStyle w:val="ListParagraph"/>
        <w:numPr>
          <w:ilvl w:val="0"/>
          <w:numId w:val="2"/>
        </w:numPr>
        <w:spacing w:after="60" w:line="276"/>
      </w:pPr>
      <w:r>
        <w:rPr>
          <w:rFonts w:ascii="Calibri" w:cs="Calibri" w:eastAsia="Calibri" w:hAnsi="Calibri"/>
          <w:sz w:val="21"/>
          <w:szCs w:val="21"/>
        </w:rPr>
        <w:t xml:space="preserve">Hard prevention of overlapping confirmed bookings on the same unit</w:t>
      </w:r>
    </w:p>
    <w:p>
      <w:pPr>
        <w:pStyle w:val="ListParagraph"/>
        <w:numPr>
          <w:ilvl w:val="0"/>
          <w:numId w:val="2"/>
        </w:numPr>
        <w:spacing w:after="60" w:line="276"/>
      </w:pPr>
      <w:r>
        <w:rPr>
          <w:rFonts w:ascii="Calibri" w:cs="Calibri" w:eastAsia="Calibri" w:hAnsi="Calibri"/>
          <w:sz w:val="21"/>
          <w:szCs w:val="21"/>
        </w:rPr>
        <w:t xml:space="preserve">Configurable buffer between checkout and the next check-in to allow cleaning</w:t>
      </w:r>
    </w:p>
    <w:p>
      <w:pPr>
        <w:pStyle w:val="ListParagraph"/>
        <w:numPr>
          <w:ilvl w:val="0"/>
          <w:numId w:val="2"/>
        </w:numPr>
        <w:spacing w:after="60" w:line="276"/>
      </w:pPr>
      <w:r>
        <w:rPr>
          <w:rFonts w:ascii="Calibri" w:cs="Calibri" w:eastAsia="Calibri" w:hAnsi="Calibri"/>
          <w:sz w:val="21"/>
          <w:szCs w:val="21"/>
        </w:rPr>
        <w:t xml:space="preserve">Minimum and maximum stay rules, variable by season</w:t>
      </w:r>
    </w:p>
    <w:p>
      <w:pPr>
        <w:pStyle w:val="ListParagraph"/>
        <w:numPr>
          <w:ilvl w:val="0"/>
          <w:numId w:val="2"/>
        </w:numPr>
        <w:spacing w:after="60" w:line="276"/>
      </w:pPr>
      <w:r>
        <w:rPr>
          <w:rFonts w:ascii="Calibri" w:cs="Calibri" w:eastAsia="Calibri" w:hAnsi="Calibri"/>
          <w:sz w:val="21"/>
          <w:szCs w:val="21"/>
        </w:rPr>
        <w:t xml:space="preserve">Advance booking window and same-day booking cut-off</w:t>
      </w:r>
    </w:p>
    <w:p>
      <w:pPr>
        <w:pStyle w:val="ListParagraph"/>
        <w:numPr>
          <w:ilvl w:val="0"/>
          <w:numId w:val="2"/>
        </w:numPr>
        <w:spacing w:after="60" w:line="276"/>
      </w:pPr>
      <w:r>
        <w:rPr>
          <w:rFonts w:ascii="Calibri" w:cs="Calibri" w:eastAsia="Calibri" w:hAnsi="Calibri"/>
          <w:sz w:val="21"/>
          <w:szCs w:val="21"/>
        </w:rPr>
        <w:t xml:space="preserve">Occupancy cannot exceed the unit maximum</w:t>
      </w:r>
    </w:p>
    <w:p>
      <w:pPr>
        <w:pStyle w:val="ListParagraph"/>
        <w:numPr>
          <w:ilvl w:val="0"/>
          <w:numId w:val="2"/>
        </w:numPr>
        <w:spacing w:after="60" w:line="276"/>
      </w:pPr>
      <w:r>
        <w:rPr>
          <w:rFonts w:ascii="Calibri" w:cs="Calibri" w:eastAsia="Calibri" w:hAnsi="Calibri"/>
          <w:sz w:val="21"/>
          <w:szCs w:val="21"/>
        </w:rPr>
        <w:t xml:space="preserve">Tentative holds expire automatically and release the dates</w:t>
      </w:r>
    </w:p>
    <w:p>
      <w:pPr>
        <w:pStyle w:val="Heading2"/>
        <w:spacing w:after="120" w:before="240"/>
      </w:pPr>
      <w:r>
        <w:rPr>
          <w:rFonts w:ascii="Calibri" w:cs="Calibri" w:eastAsia="Calibri" w:hAnsi="Calibri"/>
          <w:b/>
          <w:bCs/>
          <w:color w:val="1F4E79"/>
          <w:sz w:val="24"/>
          <w:szCs w:val="24"/>
        </w:rPr>
        <w:t xml:space="preserve">4.5 Pricing &amp; revenue</w:t>
      </w:r>
    </w:p>
    <w:p>
      <w:pPr>
        <w:pStyle w:val="ListParagraph"/>
        <w:numPr>
          <w:ilvl w:val="0"/>
          <w:numId w:val="2"/>
        </w:numPr>
        <w:spacing w:after="60" w:line="276"/>
      </w:pPr>
      <w:r>
        <w:rPr>
          <w:rFonts w:ascii="Calibri" w:cs="Calibri" w:eastAsia="Calibri" w:hAnsi="Calibri"/>
          <w:sz w:val="21"/>
          <w:szCs w:val="21"/>
        </w:rPr>
        <w:t xml:space="preserve">Base nightly rate per property</w:t>
      </w:r>
    </w:p>
    <w:p>
      <w:pPr>
        <w:pStyle w:val="ListParagraph"/>
        <w:numPr>
          <w:ilvl w:val="0"/>
          <w:numId w:val="2"/>
        </w:numPr>
        <w:spacing w:after="60" w:line="276"/>
      </w:pPr>
      <w:r>
        <w:rPr>
          <w:rFonts w:ascii="Calibri" w:cs="Calibri" w:eastAsia="Calibri" w:hAnsi="Calibri"/>
          <w:sz w:val="21"/>
          <w:szCs w:val="21"/>
        </w:rPr>
        <w:t xml:space="preserve">Rate calendar with date-range overrides for peak season, events and holidays</w:t>
      </w:r>
    </w:p>
    <w:p>
      <w:pPr>
        <w:pStyle w:val="ListParagraph"/>
        <w:numPr>
          <w:ilvl w:val="0"/>
          <w:numId w:val="2"/>
        </w:numPr>
        <w:spacing w:after="60" w:line="276"/>
      </w:pPr>
      <w:r>
        <w:rPr>
          <w:rFonts w:ascii="Calibri" w:cs="Calibri" w:eastAsia="Calibri" w:hAnsi="Calibri"/>
          <w:sz w:val="21"/>
          <w:szCs w:val="21"/>
        </w:rPr>
        <w:t xml:space="preserve">Day-of-week modifiers, typically a weekend uplift</w:t>
      </w:r>
    </w:p>
    <w:p>
      <w:pPr>
        <w:pStyle w:val="ListParagraph"/>
        <w:numPr>
          <w:ilvl w:val="0"/>
          <w:numId w:val="2"/>
        </w:numPr>
        <w:spacing w:after="60" w:line="276"/>
      </w:pPr>
      <w:r>
        <w:rPr>
          <w:rFonts w:ascii="Calibri" w:cs="Calibri" w:eastAsia="Calibri" w:hAnsi="Calibri"/>
          <w:sz w:val="21"/>
          <w:szCs w:val="21"/>
        </w:rPr>
        <w:t xml:space="preserve">Length-of-stay discounts, for example weekly and monthly rates</w:t>
      </w:r>
    </w:p>
    <w:p>
      <w:pPr>
        <w:pStyle w:val="ListParagraph"/>
        <w:numPr>
          <w:ilvl w:val="0"/>
          <w:numId w:val="2"/>
        </w:numPr>
        <w:spacing w:after="60" w:line="276"/>
      </w:pPr>
      <w:r>
        <w:rPr>
          <w:rFonts w:ascii="Calibri" w:cs="Calibri" w:eastAsia="Calibri" w:hAnsi="Calibri"/>
          <w:sz w:val="21"/>
          <w:szCs w:val="21"/>
        </w:rPr>
        <w:t xml:space="preserve">Extra guest fee above an included occupancy</w:t>
      </w:r>
    </w:p>
    <w:p>
      <w:pPr>
        <w:pStyle w:val="ListParagraph"/>
        <w:numPr>
          <w:ilvl w:val="0"/>
          <w:numId w:val="2"/>
        </w:numPr>
        <w:spacing w:after="60" w:line="276"/>
      </w:pPr>
      <w:r>
        <w:rPr>
          <w:rFonts w:ascii="Calibri" w:cs="Calibri" w:eastAsia="Calibri" w:hAnsi="Calibri"/>
          <w:sz w:val="21"/>
          <w:szCs w:val="21"/>
        </w:rPr>
        <w:t xml:space="preserve">Cleaning fee, fixed or by unit size</w:t>
      </w:r>
    </w:p>
    <w:p>
      <w:pPr>
        <w:pStyle w:val="ListParagraph"/>
        <w:numPr>
          <w:ilvl w:val="0"/>
          <w:numId w:val="2"/>
        </w:numPr>
        <w:spacing w:after="60" w:line="276"/>
      </w:pPr>
      <w:r>
        <w:rPr>
          <w:rFonts w:ascii="Calibri" w:cs="Calibri" w:eastAsia="Calibri" w:hAnsi="Calibri"/>
          <w:sz w:val="21"/>
          <w:szCs w:val="21"/>
        </w:rPr>
        <w:t xml:space="preserve">Cancellation policies — flexible, moderate, strict — applied automatically to compute refunds</w:t>
      </w:r>
    </w:p>
    <w:p>
      <w:pPr>
        <w:pStyle w:val="ListParagraph"/>
        <w:numPr>
          <w:ilvl w:val="0"/>
          <w:numId w:val="2"/>
        </w:numPr>
        <w:spacing w:after="60" w:line="276"/>
      </w:pPr>
      <w:r>
        <w:rPr>
          <w:rFonts w:ascii="Calibri" w:cs="Calibri" w:eastAsia="Calibri" w:hAnsi="Calibri"/>
          <w:sz w:val="21"/>
          <w:szCs w:val="21"/>
        </w:rPr>
        <w:t xml:space="preserve">Optional channel mark-up so the net after commission holds steady</w:t>
      </w:r>
    </w:p>
    <w:p>
      <w:pPr>
        <w:pStyle w:val="ListParagraph"/>
        <w:numPr>
          <w:ilvl w:val="0"/>
          <w:numId w:val="2"/>
        </w:numPr>
        <w:spacing w:after="60" w:line="276"/>
      </w:pPr>
      <w:r>
        <w:rPr>
          <w:rFonts w:ascii="Calibri" w:cs="Calibri" w:eastAsia="Calibri" w:hAnsi="Calibri"/>
          <w:sz w:val="21"/>
          <w:szCs w:val="21"/>
        </w:rPr>
        <w:t xml:space="preserve">Quote preview showing a full price breakdown before confirmation</w:t>
      </w:r>
    </w:p>
    <w:p>
      <w:pPr>
        <w:pStyle w:val="Heading2"/>
        <w:spacing w:after="120" w:before="240"/>
      </w:pPr>
      <w:r>
        <w:rPr>
          <w:rFonts w:ascii="Calibri" w:cs="Calibri" w:eastAsia="Calibri" w:hAnsi="Calibri"/>
          <w:b/>
          <w:bCs/>
          <w:color w:val="1F4E79"/>
          <w:sz w:val="24"/>
          <w:szCs w:val="24"/>
        </w:rPr>
        <w:t xml:space="preserve">4.6 Payments &amp; finance</w:t>
      </w:r>
    </w:p>
    <w:p>
      <w:pPr>
        <w:pStyle w:val="Heading3"/>
        <w:spacing w:after="100" w:before="180"/>
      </w:pPr>
      <w:r>
        <w:rPr>
          <w:rFonts w:ascii="Calibri" w:cs="Calibri" w:eastAsia="Calibri" w:hAnsi="Calibri"/>
          <w:b/>
          <w:bCs/>
          <w:color w:val="333333"/>
          <w:sz w:val="22"/>
          <w:szCs w:val="22"/>
        </w:rPr>
        <w:t xml:space="preserve">Inbound</w:t>
      </w:r>
    </w:p>
    <w:p>
      <w:pPr>
        <w:pStyle w:val="ListParagraph"/>
        <w:numPr>
          <w:ilvl w:val="0"/>
          <w:numId w:val="2"/>
        </w:numPr>
        <w:spacing w:after="60" w:line="276"/>
      </w:pPr>
      <w:r>
        <w:rPr>
          <w:rFonts w:ascii="Calibri" w:cs="Calibri" w:eastAsia="Calibri" w:hAnsi="Calibri"/>
          <w:sz w:val="21"/>
          <w:szCs w:val="21"/>
        </w:rPr>
        <w:t xml:space="preserve">Deposit on confirmation and balance on a schedule, each tracked separately</w:t>
      </w:r>
    </w:p>
    <w:p>
      <w:pPr>
        <w:pStyle w:val="ListParagraph"/>
        <w:numPr>
          <w:ilvl w:val="0"/>
          <w:numId w:val="2"/>
        </w:numPr>
        <w:spacing w:after="60" w:line="276"/>
      </w:pPr>
      <w:r>
        <w:rPr>
          <w:rFonts w:ascii="Calibri" w:cs="Calibri" w:eastAsia="Calibri" w:hAnsi="Calibri"/>
          <w:sz w:val="21"/>
          <w:szCs w:val="21"/>
        </w:rPr>
        <w:t xml:space="preserve">Refundable security deposit: authorised or collected, then released or partially deducted with an evidence trail</w:t>
      </w:r>
    </w:p>
    <w:p>
      <w:pPr>
        <w:pStyle w:val="ListParagraph"/>
        <w:numPr>
          <w:ilvl w:val="0"/>
          <w:numId w:val="2"/>
        </w:numPr>
        <w:spacing w:after="60" w:line="276"/>
      </w:pPr>
      <w:r>
        <w:rPr>
          <w:rFonts w:ascii="Calibri" w:cs="Calibri" w:eastAsia="Calibri" w:hAnsi="Calibri"/>
          <w:sz w:val="21"/>
          <w:szCs w:val="21"/>
        </w:rPr>
        <w:t xml:space="preserve">Methods: card via gateway, bank transfer, cash, or collected by the channel</w:t>
      </w:r>
    </w:p>
    <w:p>
      <w:pPr>
        <w:pStyle w:val="ListParagraph"/>
        <w:numPr>
          <w:ilvl w:val="0"/>
          <w:numId w:val="2"/>
        </w:numPr>
        <w:spacing w:after="60" w:line="276"/>
      </w:pPr>
      <w:r>
        <w:rPr>
          <w:rFonts w:ascii="Calibri" w:cs="Calibri" w:eastAsia="Calibri" w:hAnsi="Calibri"/>
          <w:sz w:val="21"/>
          <w:szCs w:val="21"/>
        </w:rPr>
        <w:t xml:space="preserve">Automatic reconciliation of channel payouts against bookings</w:t>
      </w:r>
    </w:p>
    <w:p>
      <w:pPr>
        <w:pStyle w:val="ListParagraph"/>
        <w:numPr>
          <w:ilvl w:val="0"/>
          <w:numId w:val="2"/>
        </w:numPr>
        <w:spacing w:after="60" w:line="276"/>
      </w:pPr>
      <w:r>
        <w:rPr>
          <w:rFonts w:ascii="Calibri" w:cs="Calibri" w:eastAsia="Calibri" w:hAnsi="Calibri"/>
          <w:sz w:val="21"/>
          <w:szCs w:val="21"/>
        </w:rPr>
        <w:t xml:space="preserve">Refunds against the cancellation policy, with manual override and reason</w:t>
      </w:r>
    </w:p>
    <w:p>
      <w:pPr>
        <w:pStyle w:val="Heading3"/>
        <w:spacing w:after="100" w:before="180"/>
      </w:pPr>
      <w:r>
        <w:rPr>
          <w:rFonts w:ascii="Calibri" w:cs="Calibri" w:eastAsia="Calibri" w:hAnsi="Calibri"/>
          <w:b/>
          <w:bCs/>
          <w:color w:val="333333"/>
          <w:sz w:val="22"/>
          <w:szCs w:val="22"/>
        </w:rPr>
        <w:t xml:space="preserve">Outbound and costs</w:t>
      </w:r>
    </w:p>
    <w:p>
      <w:pPr>
        <w:pStyle w:val="ListParagraph"/>
        <w:numPr>
          <w:ilvl w:val="0"/>
          <w:numId w:val="2"/>
        </w:numPr>
        <w:spacing w:after="60" w:line="276"/>
      </w:pPr>
      <w:r>
        <w:rPr>
          <w:rFonts w:ascii="Calibri" w:cs="Calibri" w:eastAsia="Calibri" w:hAnsi="Calibri"/>
          <w:sz w:val="21"/>
          <w:szCs w:val="21"/>
        </w:rPr>
        <w:t xml:space="preserve">Expenses per property, categorised: utilities, service charge, maintenance, cleaning, supplies, insurance, mortgage, marketing</w:t>
      </w:r>
    </w:p>
    <w:p>
      <w:pPr>
        <w:pStyle w:val="ListParagraph"/>
        <w:numPr>
          <w:ilvl w:val="0"/>
          <w:numId w:val="2"/>
        </w:numPr>
        <w:spacing w:after="60" w:line="276"/>
      </w:pPr>
      <w:r>
        <w:rPr>
          <w:rFonts w:ascii="Calibri" w:cs="Calibri" w:eastAsia="Calibri" w:hAnsi="Calibri"/>
          <w:sz w:val="21"/>
          <w:szCs w:val="21"/>
        </w:rPr>
        <w:t xml:space="preserve">Vendor invoices attached to work orders</w:t>
      </w:r>
    </w:p>
    <w:p>
      <w:pPr>
        <w:pStyle w:val="ListParagraph"/>
        <w:numPr>
          <w:ilvl w:val="0"/>
          <w:numId w:val="2"/>
        </w:numPr>
        <w:spacing w:after="60" w:line="276"/>
      </w:pPr>
      <w:r>
        <w:rPr>
          <w:rFonts w:ascii="Calibri" w:cs="Calibri" w:eastAsia="Calibri" w:hAnsi="Calibri"/>
          <w:sz w:val="21"/>
          <w:szCs w:val="21"/>
        </w:rPr>
        <w:t xml:space="preserve">Recurring expense templates for predictable bills</w:t>
      </w:r>
    </w:p>
    <w:p>
      <w:pPr>
        <w:pStyle w:val="Heading3"/>
        <w:spacing w:after="100" w:before="180"/>
      </w:pPr>
      <w:r>
        <w:rPr>
          <w:rFonts w:ascii="Calibri" w:cs="Calibri" w:eastAsia="Calibri" w:hAnsi="Calibri"/>
          <w:b/>
          <w:bCs/>
          <w:color w:val="333333"/>
          <w:sz w:val="22"/>
          <w:szCs w:val="22"/>
        </w:rPr>
        <w:t xml:space="preserve">Tax</w:t>
      </w:r>
    </w:p>
    <w:p>
      <w:pPr>
        <w:pStyle w:val="ListParagraph"/>
        <w:numPr>
          <w:ilvl w:val="0"/>
          <w:numId w:val="2"/>
        </w:numPr>
        <w:spacing w:after="60" w:line="276"/>
      </w:pPr>
      <w:r>
        <w:rPr>
          <w:rFonts w:ascii="Calibri" w:cs="Calibri" w:eastAsia="Calibri" w:hAnsi="Calibri"/>
          <w:sz w:val="21"/>
          <w:szCs w:val="21"/>
        </w:rPr>
        <w:t xml:space="preserve">Tourism Dirham accrued per booking and aggregated into a monthly filing report</w:t>
      </w:r>
    </w:p>
    <w:p>
      <w:pPr>
        <w:pStyle w:val="ListParagraph"/>
        <w:numPr>
          <w:ilvl w:val="0"/>
          <w:numId w:val="2"/>
        </w:numPr>
        <w:spacing w:after="60" w:line="276"/>
      </w:pPr>
      <w:r>
        <w:rPr>
          <w:rFonts w:ascii="Calibri" w:cs="Calibri" w:eastAsia="Calibri" w:hAnsi="Calibri"/>
          <w:sz w:val="21"/>
          <w:szCs w:val="21"/>
        </w:rPr>
        <w:t xml:space="preserve">VAT calculated per booking where registered, with compliant tax invoices issued</w:t>
      </w:r>
    </w:p>
    <w:p>
      <w:pPr>
        <w:pStyle w:val="ListParagraph"/>
        <w:numPr>
          <w:ilvl w:val="0"/>
          <w:numId w:val="2"/>
        </w:numPr>
        <w:spacing w:after="60" w:line="276"/>
      </w:pPr>
      <w:r>
        <w:rPr>
          <w:rFonts w:ascii="Calibri" w:cs="Calibri" w:eastAsia="Calibri" w:hAnsi="Calibri"/>
          <w:sz w:val="21"/>
          <w:szCs w:val="21"/>
        </w:rPr>
        <w:t xml:space="preserve">Rolling 12-month turnover tracked against the registration threshold, with an early warning</w:t>
      </w:r>
    </w:p>
    <w:p>
      <w:pPr>
        <w:pStyle w:val="ListParagraph"/>
        <w:numPr>
          <w:ilvl w:val="0"/>
          <w:numId w:val="2"/>
        </w:numPr>
        <w:spacing w:after="60" w:line="276"/>
      </w:pPr>
      <w:r>
        <w:rPr>
          <w:rFonts w:ascii="Calibri" w:cs="Calibri" w:eastAsia="Calibri" w:hAnsi="Calibri"/>
          <w:sz w:val="21"/>
          <w:szCs w:val="21"/>
        </w:rPr>
        <w:t xml:space="preserve">Exportable reports formatted for your accountant and for FTA filing periods</w:t>
      </w:r>
    </w:p>
    <w:p>
      <w:pPr>
        <w:pStyle w:val="Heading2"/>
        <w:spacing w:after="120" w:before="240"/>
      </w:pPr>
      <w:r>
        <w:rPr>
          <w:rFonts w:ascii="Calibri" w:cs="Calibri" w:eastAsia="Calibri" w:hAnsi="Calibri"/>
          <w:b/>
          <w:bCs/>
          <w:color w:val="1F4E79"/>
          <w:sz w:val="24"/>
          <w:szCs w:val="24"/>
        </w:rPr>
        <w:t xml:space="preserve">4.7 Maintenance &amp; housekeeping</w:t>
      </w:r>
    </w:p>
    <w:p>
      <w:pPr>
        <w:pStyle w:val="Heading3"/>
        <w:spacing w:after="100" w:before="180"/>
      </w:pPr>
      <w:r>
        <w:rPr>
          <w:rFonts w:ascii="Calibri" w:cs="Calibri" w:eastAsia="Calibri" w:hAnsi="Calibri"/>
          <w:b/>
          <w:bCs/>
          <w:color w:val="333333"/>
          <w:sz w:val="22"/>
          <w:szCs w:val="22"/>
        </w:rPr>
        <w:t xml:space="preserve">Reactive work orders</w:t>
      </w:r>
    </w:p>
    <w:p>
      <w:pPr>
        <w:pStyle w:val="ListParagraph"/>
        <w:numPr>
          <w:ilvl w:val="0"/>
          <w:numId w:val="2"/>
        </w:numPr>
        <w:spacing w:after="60" w:line="276"/>
      </w:pPr>
      <w:r>
        <w:rPr>
          <w:rFonts w:ascii="Calibri" w:cs="Calibri" w:eastAsia="Calibri" w:hAnsi="Calibri"/>
          <w:sz w:val="21"/>
          <w:szCs w:val="21"/>
        </w:rPr>
        <w:t xml:space="preserve">Raised by staff, by a guest during a stay, or from a cleaning inspection</w:t>
      </w:r>
    </w:p>
    <w:p>
      <w:pPr>
        <w:pStyle w:val="ListParagraph"/>
        <w:numPr>
          <w:ilvl w:val="0"/>
          <w:numId w:val="2"/>
        </w:numPr>
        <w:spacing w:after="60" w:line="276"/>
      </w:pPr>
      <w:r>
        <w:rPr>
          <w:rFonts w:ascii="Calibri" w:cs="Calibri" w:eastAsia="Calibri" w:hAnsi="Calibri"/>
          <w:sz w:val="21"/>
          <w:szCs w:val="21"/>
        </w:rPr>
        <w:t xml:space="preserve">Fields: property, category, description, priority, reported-by, photos, affected booking</w:t>
      </w:r>
    </w:p>
    <w:p>
      <w:pPr>
        <w:pStyle w:val="ListParagraph"/>
        <w:numPr>
          <w:ilvl w:val="0"/>
          <w:numId w:val="2"/>
        </w:numPr>
        <w:spacing w:after="60" w:line="276"/>
      </w:pPr>
      <w:r>
        <w:rPr>
          <w:rFonts w:ascii="Calibri" w:cs="Calibri" w:eastAsia="Calibri" w:hAnsi="Calibri"/>
          <w:sz w:val="21"/>
          <w:szCs w:val="21"/>
        </w:rPr>
        <w:t xml:space="preserve">Lifecycle: reported, triaged, assigned, in progress, on hold awaiting parts, resolved, verified, closed</w:t>
      </w:r>
    </w:p>
    <w:p>
      <w:pPr>
        <w:pStyle w:val="ListParagraph"/>
        <w:numPr>
          <w:ilvl w:val="0"/>
          <w:numId w:val="2"/>
        </w:numPr>
        <w:spacing w:after="60" w:line="276"/>
      </w:pPr>
      <w:r>
        <w:rPr>
          <w:rFonts w:ascii="Calibri" w:cs="Calibri" w:eastAsia="Calibri" w:hAnsi="Calibri"/>
          <w:sz w:val="21"/>
          <w:szCs w:val="21"/>
        </w:rPr>
        <w:t xml:space="preserve">Resolution: vendor, work done, parts, labour cost, total cost, completion photos, warranty claim reference</w:t>
      </w:r>
    </w:p>
    <w:p>
      <w:pPr>
        <w:pStyle w:val="ListParagraph"/>
        <w:numPr>
          <w:ilvl w:val="0"/>
          <w:numId w:val="2"/>
        </w:numPr>
        <w:spacing w:after="60" w:line="276"/>
      </w:pPr>
      <w:r>
        <w:rPr>
          <w:rFonts w:ascii="Calibri" w:cs="Calibri" w:eastAsia="Calibri" w:hAnsi="Calibri"/>
          <w:sz w:val="21"/>
          <w:szCs w:val="21"/>
        </w:rPr>
        <w:t xml:space="preserve">Cost posts automatically to the property expense ledger</w:t>
      </w:r>
    </w:p>
    <w:p>
      <w:pPr>
        <w:pStyle w:val="Heading3"/>
        <w:spacing w:after="100" w:before="180"/>
      </w:pPr>
      <w:r>
        <w:rPr>
          <w:rFonts w:ascii="Calibri" w:cs="Calibri" w:eastAsia="Calibri" w:hAnsi="Calibri"/>
          <w:b/>
          <w:bCs/>
          <w:color w:val="333333"/>
          <w:sz w:val="22"/>
          <w:szCs w:val="22"/>
        </w:rPr>
        <w:t xml:space="preserve">Preventive schedules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800"/>
        <w:gridCol w:w="2200"/>
        <w:gridCol w:w="4026"/>
      </w:tblGrid>
      <w:tr>
        <w:trPr>
          <w:tblHeader/>
        </w:trPr>
        <w:tc>
          <w:tcPr>
            <w:tcW w:type="dxa" w:w="28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Task</w:t>
            </w:r>
          </w:p>
        </w:tc>
        <w:tc>
          <w:tcPr>
            <w:tcW w:type="dxa" w:w="22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Typical interval</w:t>
            </w:r>
          </w:p>
        </w:tc>
        <w:tc>
          <w:tcPr>
            <w:tcW w:type="dxa" w:w="40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w:t>
            </w:r>
          </w:p>
        </w:tc>
      </w:tr>
      <w:tr>
        <w:tc>
          <w:tcPr>
            <w:tcW w:type="dxa" w:w="2800"/>
            <w:tcMar>
              <w:top w:type="dxa" w:w="80"/>
              <w:left w:type="dxa" w:w="120"/>
              <w:bottom w:type="dxa" w:w="80"/>
              <w:right w:type="dxa" w:w="120"/>
            </w:tcMar>
          </w:tcPr>
          <w:p>
            <w:pPr>
              <w:spacing w:after="0" w:line="252"/>
            </w:pPr>
            <w:r>
              <w:rPr>
                <w:rFonts w:ascii="Calibri" w:cs="Calibri" w:eastAsia="Calibri" w:hAnsi="Calibri"/>
                <w:sz w:val="19"/>
                <w:szCs w:val="19"/>
              </w:rPr>
              <w:t xml:space="preserve">AC servicing and filter clean</w:t>
            </w:r>
          </w:p>
        </w:tc>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Every 3–6 months</w:t>
            </w:r>
          </w:p>
        </w:tc>
        <w:tc>
          <w:tcPr>
            <w:tcW w:type="dxa" w:w="4026"/>
            <w:tcMar>
              <w:top w:type="dxa" w:w="80"/>
              <w:left w:type="dxa" w:w="120"/>
              <w:bottom w:type="dxa" w:w="80"/>
              <w:right w:type="dxa" w:w="120"/>
            </w:tcMar>
          </w:tcPr>
          <w:p>
            <w:pPr>
              <w:spacing w:after="0" w:line="252"/>
            </w:pPr>
            <w:r>
              <w:rPr>
                <w:rFonts w:ascii="Calibri" w:cs="Calibri" w:eastAsia="Calibri" w:hAnsi="Calibri"/>
                <w:sz w:val="19"/>
                <w:szCs w:val="19"/>
              </w:rPr>
              <w:t xml:space="preserve">The highest-value preventive item in Dubai; failures in summer cost bookings, not just repairs</w:t>
            </w:r>
          </w:p>
        </w:tc>
      </w:tr>
      <w:tr>
        <w:tc>
          <w:tcPr>
            <w:tcW w:type="dxa" w:w="2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Water tank cleaning</w:t>
            </w:r>
          </w:p>
        </w:tc>
        <w:tc>
          <w:tcPr>
            <w:tcW w:type="dxa" w:w="2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Every 6–12 months</w:t>
            </w:r>
          </w:p>
        </w:tc>
        <w:tc>
          <w:tcPr>
            <w:tcW w:type="dxa" w:w="4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Often mandated by the building</w:t>
            </w:r>
          </w:p>
        </w:tc>
      </w:tr>
      <w:tr>
        <w:tc>
          <w:tcPr>
            <w:tcW w:type="dxa" w:w="2800"/>
            <w:tcMar>
              <w:top w:type="dxa" w:w="80"/>
              <w:left w:type="dxa" w:w="120"/>
              <w:bottom w:type="dxa" w:w="80"/>
              <w:right w:type="dxa" w:w="120"/>
            </w:tcMar>
          </w:tcPr>
          <w:p>
            <w:pPr>
              <w:spacing w:after="0" w:line="252"/>
            </w:pPr>
            <w:r>
              <w:rPr>
                <w:rFonts w:ascii="Calibri" w:cs="Calibri" w:eastAsia="Calibri" w:hAnsi="Calibri"/>
                <w:sz w:val="19"/>
                <w:szCs w:val="19"/>
              </w:rPr>
              <w:t xml:space="preserve">Pest control</w:t>
            </w:r>
          </w:p>
        </w:tc>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Quarterly</w:t>
            </w:r>
          </w:p>
        </w:tc>
        <w:tc>
          <w:tcPr>
            <w:tcW w:type="dxa" w:w="4026"/>
            <w:tcMar>
              <w:top w:type="dxa" w:w="80"/>
              <w:left w:type="dxa" w:w="120"/>
              <w:bottom w:type="dxa" w:w="80"/>
              <w:right w:type="dxa" w:w="120"/>
            </w:tcMar>
          </w:tcPr>
          <w:p>
            <w:pPr>
              <w:spacing w:after="0" w:line="252"/>
            </w:pPr>
            <w:r>
              <w:rPr>
                <w:rFonts w:ascii="Calibri" w:cs="Calibri" w:eastAsia="Calibri" w:hAnsi="Calibri"/>
                <w:sz w:val="19"/>
                <w:szCs w:val="19"/>
              </w:rPr>
              <w:t xml:space="preserve">Especially for ground-floor and villa units</w:t>
            </w:r>
          </w:p>
        </w:tc>
      </w:tr>
      <w:tr>
        <w:tc>
          <w:tcPr>
            <w:tcW w:type="dxa" w:w="2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Deep clean</w:t>
            </w:r>
          </w:p>
        </w:tc>
        <w:tc>
          <w:tcPr>
            <w:tcW w:type="dxa" w:w="2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Quarterly</w:t>
            </w:r>
          </w:p>
        </w:tc>
        <w:tc>
          <w:tcPr>
            <w:tcW w:type="dxa" w:w="4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Beyond standard turnover cleaning</w:t>
            </w:r>
          </w:p>
        </w:tc>
      </w:tr>
      <w:tr>
        <w:tc>
          <w:tcPr>
            <w:tcW w:type="dxa" w:w="2800"/>
            <w:tcMar>
              <w:top w:type="dxa" w:w="80"/>
              <w:left w:type="dxa" w:w="120"/>
              <w:bottom w:type="dxa" w:w="80"/>
              <w:right w:type="dxa" w:w="120"/>
            </w:tcMar>
          </w:tcPr>
          <w:p>
            <w:pPr>
              <w:spacing w:after="0" w:line="252"/>
            </w:pPr>
            <w:r>
              <w:rPr>
                <w:rFonts w:ascii="Calibri" w:cs="Calibri" w:eastAsia="Calibri" w:hAnsi="Calibri"/>
                <w:sz w:val="19"/>
                <w:szCs w:val="19"/>
              </w:rPr>
              <w:t xml:space="preserve">Smoke alarm and extinguisher check</w:t>
            </w:r>
          </w:p>
        </w:tc>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Every 6–12 months</w:t>
            </w:r>
          </w:p>
        </w:tc>
        <w:tc>
          <w:tcPr>
            <w:tcW w:type="dxa" w:w="4026"/>
            <w:tcMar>
              <w:top w:type="dxa" w:w="80"/>
              <w:left w:type="dxa" w:w="120"/>
              <w:bottom w:type="dxa" w:w="80"/>
              <w:right w:type="dxa" w:w="120"/>
            </w:tcMar>
          </w:tcPr>
          <w:p>
            <w:pPr>
              <w:spacing w:after="0" w:line="252"/>
            </w:pPr>
            <w:r>
              <w:rPr>
                <w:rFonts w:ascii="Calibri" w:cs="Calibri" w:eastAsia="Calibri" w:hAnsi="Calibri"/>
                <w:sz w:val="19"/>
                <w:szCs w:val="19"/>
              </w:rPr>
              <w:t xml:space="preserve">Safety, and often a permit condition</w:t>
            </w:r>
          </w:p>
        </w:tc>
      </w:tr>
      <w:tr>
        <w:tc>
          <w:tcPr>
            <w:tcW w:type="dxa" w:w="2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Plumbing and leak inspection</w:t>
            </w:r>
          </w:p>
        </w:tc>
        <w:tc>
          <w:tcPr>
            <w:tcW w:type="dxa" w:w="2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Annual</w:t>
            </w:r>
          </w:p>
        </w:tc>
        <w:tc>
          <w:tcPr>
            <w:tcW w:type="dxa" w:w="40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Early detection avoids damage claims</w:t>
            </w:r>
          </w:p>
        </w:tc>
      </w:tr>
      <w:tr>
        <w:tc>
          <w:tcPr>
            <w:tcW w:type="dxa" w:w="2800"/>
            <w:tcMar>
              <w:top w:type="dxa" w:w="80"/>
              <w:left w:type="dxa" w:w="120"/>
              <w:bottom w:type="dxa" w:w="80"/>
              <w:right w:type="dxa" w:w="120"/>
            </w:tcMar>
          </w:tcPr>
          <w:p>
            <w:pPr>
              <w:spacing w:after="0" w:line="252"/>
            </w:pPr>
            <w:r>
              <w:rPr>
                <w:rFonts w:ascii="Calibri" w:cs="Calibri" w:eastAsia="Calibri" w:hAnsi="Calibri"/>
                <w:sz w:val="19"/>
                <w:szCs w:val="19"/>
              </w:rPr>
              <w:t xml:space="preserve">Appliance servicing</w:t>
            </w:r>
          </w:p>
        </w:tc>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Annual</w:t>
            </w:r>
          </w:p>
        </w:tc>
        <w:tc>
          <w:tcPr>
            <w:tcW w:type="dxa" w:w="4026"/>
            <w:tcMar>
              <w:top w:type="dxa" w:w="80"/>
              <w:left w:type="dxa" w:w="120"/>
              <w:bottom w:type="dxa" w:w="80"/>
              <w:right w:type="dxa" w:w="120"/>
            </w:tcMar>
          </w:tcPr>
          <w:p>
            <w:pPr>
              <w:spacing w:after="0" w:line="252"/>
            </w:pPr>
            <w:r>
              <w:rPr>
                <w:rFonts w:ascii="Calibri" w:cs="Calibri" w:eastAsia="Calibri" w:hAnsi="Calibri"/>
                <w:sz w:val="19"/>
                <w:szCs w:val="19"/>
              </w:rPr>
              <w:t xml:space="preserve">Tie to the asset register and warranty dates</w:t>
            </w:r>
          </w:p>
        </w:tc>
      </w:tr>
    </w:tbl>
    <w:p>
      <w:pPr>
        <w:pStyle w:val="Heading3"/>
        <w:spacing w:after="100" w:before="180"/>
      </w:pPr>
      <w:r>
        <w:rPr>
          <w:rFonts w:ascii="Calibri" w:cs="Calibri" w:eastAsia="Calibri" w:hAnsi="Calibri"/>
          <w:b/>
          <w:bCs/>
          <w:color w:val="333333"/>
          <w:sz w:val="22"/>
          <w:szCs w:val="22"/>
        </w:rPr>
        <w:t xml:space="preserve">Housekeeping</w:t>
      </w:r>
    </w:p>
    <w:p>
      <w:pPr>
        <w:pStyle w:val="ListParagraph"/>
        <w:numPr>
          <w:ilvl w:val="0"/>
          <w:numId w:val="2"/>
        </w:numPr>
        <w:spacing w:after="60" w:line="276"/>
      </w:pPr>
      <w:r>
        <w:rPr>
          <w:rFonts w:ascii="Calibri" w:cs="Calibri" w:eastAsia="Calibri" w:hAnsi="Calibri"/>
          <w:sz w:val="21"/>
          <w:szCs w:val="21"/>
        </w:rPr>
        <w:t xml:space="preserve">Cleaning task generated automatically on checkout</w:t>
      </w:r>
    </w:p>
    <w:p>
      <w:pPr>
        <w:pStyle w:val="ListParagraph"/>
        <w:numPr>
          <w:ilvl w:val="0"/>
          <w:numId w:val="2"/>
        </w:numPr>
        <w:spacing w:after="60" w:line="276"/>
      </w:pPr>
      <w:r>
        <w:rPr>
          <w:rFonts w:ascii="Calibri" w:cs="Calibri" w:eastAsia="Calibri" w:hAnsi="Calibri"/>
          <w:sz w:val="21"/>
          <w:szCs w:val="21"/>
        </w:rPr>
        <w:t xml:space="preserve">Assignment to a cleaner with a mobile-friendly checklist</w:t>
      </w:r>
    </w:p>
    <w:p>
      <w:pPr>
        <w:pStyle w:val="ListParagraph"/>
        <w:numPr>
          <w:ilvl w:val="0"/>
          <w:numId w:val="2"/>
        </w:numPr>
        <w:spacing w:after="60" w:line="276"/>
      </w:pPr>
      <w:r>
        <w:rPr>
          <w:rFonts w:ascii="Calibri" w:cs="Calibri" w:eastAsia="Calibri" w:hAnsi="Calibri"/>
          <w:sz w:val="21"/>
          <w:szCs w:val="21"/>
        </w:rPr>
        <w:t xml:space="preserve">Completion sign-off with photos and a linen and consumables count</w:t>
      </w:r>
    </w:p>
    <w:p>
      <w:pPr>
        <w:pStyle w:val="ListParagraph"/>
        <w:numPr>
          <w:ilvl w:val="0"/>
          <w:numId w:val="2"/>
        </w:numPr>
        <w:spacing w:after="60" w:line="276"/>
      </w:pPr>
      <w:r>
        <w:rPr>
          <w:rFonts w:ascii="Calibri" w:cs="Calibri" w:eastAsia="Calibri" w:hAnsi="Calibri"/>
          <w:sz w:val="21"/>
          <w:szCs w:val="21"/>
        </w:rPr>
        <w:t xml:space="preserve">Inspection step before the next guest arrives, flagging same-day turnovers prominently</w:t>
      </w:r>
    </w:p>
    <w:p>
      <w:pPr>
        <w:pStyle w:val="Heading2"/>
        <w:spacing w:after="120" w:before="240"/>
      </w:pPr>
      <w:r>
        <w:rPr>
          <w:rFonts w:ascii="Calibri" w:cs="Calibri" w:eastAsia="Calibri" w:hAnsi="Calibri"/>
          <w:b/>
          <w:bCs/>
          <w:color w:val="1F4E79"/>
          <w:sz w:val="24"/>
          <w:szCs w:val="24"/>
        </w:rPr>
        <w:t xml:space="preserve">4.8 Reporting</w:t>
      </w:r>
    </w:p>
    <w:p>
      <w:pPr>
        <w:pStyle w:val="ListParagraph"/>
        <w:numPr>
          <w:ilvl w:val="0"/>
          <w:numId w:val="2"/>
        </w:numPr>
        <w:spacing w:after="60" w:line="276"/>
      </w:pPr>
      <w:r>
        <w:rPr>
          <w:rFonts w:ascii="Calibri" w:cs="Calibri" w:eastAsia="Calibri" w:hAnsi="Calibri"/>
          <w:sz w:val="21"/>
          <w:szCs w:val="21"/>
        </w:rPr>
        <w:t xml:space="preserve">Occupancy rate by unit and portfolio, over any period</w:t>
      </w:r>
    </w:p>
    <w:p>
      <w:pPr>
        <w:pStyle w:val="ListParagraph"/>
        <w:numPr>
          <w:ilvl w:val="0"/>
          <w:numId w:val="2"/>
        </w:numPr>
        <w:spacing w:after="60" w:line="276"/>
      </w:pPr>
      <w:r>
        <w:rPr>
          <w:rFonts w:ascii="Calibri" w:cs="Calibri" w:eastAsia="Calibri" w:hAnsi="Calibri"/>
          <w:sz w:val="21"/>
          <w:szCs w:val="21"/>
        </w:rPr>
        <w:t xml:space="preserve">ADR and RevPAR by unit, month and season</w:t>
      </w:r>
    </w:p>
    <w:p>
      <w:pPr>
        <w:pStyle w:val="ListParagraph"/>
        <w:numPr>
          <w:ilvl w:val="0"/>
          <w:numId w:val="2"/>
        </w:numPr>
        <w:spacing w:after="60" w:line="276"/>
      </w:pPr>
      <w:r>
        <w:rPr>
          <w:rFonts w:ascii="Calibri" w:cs="Calibri" w:eastAsia="Calibri" w:hAnsi="Calibri"/>
          <w:sz w:val="21"/>
          <w:szCs w:val="21"/>
        </w:rPr>
        <w:t xml:space="preserve">Revenue, expenses and net profit per unit — the report that tells you which units to keep</w:t>
      </w:r>
    </w:p>
    <w:p>
      <w:pPr>
        <w:pStyle w:val="ListParagraph"/>
        <w:numPr>
          <w:ilvl w:val="0"/>
          <w:numId w:val="2"/>
        </w:numPr>
        <w:spacing w:after="60" w:line="276"/>
      </w:pPr>
      <w:r>
        <w:rPr>
          <w:rFonts w:ascii="Calibri" w:cs="Calibri" w:eastAsia="Calibri" w:hAnsi="Calibri"/>
          <w:sz w:val="21"/>
          <w:szCs w:val="21"/>
        </w:rPr>
        <w:t xml:space="preserve">Channel performance: bookings, revenue and commission by source</w:t>
      </w:r>
    </w:p>
    <w:p>
      <w:pPr>
        <w:pStyle w:val="ListParagraph"/>
        <w:numPr>
          <w:ilvl w:val="0"/>
          <w:numId w:val="2"/>
        </w:numPr>
        <w:spacing w:after="60" w:line="276"/>
      </w:pPr>
      <w:r>
        <w:rPr>
          <w:rFonts w:ascii="Calibri" w:cs="Calibri" w:eastAsia="Calibri" w:hAnsi="Calibri"/>
          <w:sz w:val="21"/>
          <w:szCs w:val="21"/>
        </w:rPr>
        <w:t xml:space="preserve">Guest analytics: repeat rate, nationality mix, average party size, lead time</w:t>
      </w:r>
    </w:p>
    <w:p>
      <w:pPr>
        <w:pStyle w:val="ListParagraph"/>
        <w:numPr>
          <w:ilvl w:val="0"/>
          <w:numId w:val="2"/>
        </w:numPr>
        <w:spacing w:after="60" w:line="276"/>
      </w:pPr>
      <w:r>
        <w:rPr>
          <w:rFonts w:ascii="Calibri" w:cs="Calibri" w:eastAsia="Calibri" w:hAnsi="Calibri"/>
          <w:sz w:val="21"/>
          <w:szCs w:val="21"/>
        </w:rPr>
        <w:t xml:space="preserve">Maintenance cost by property and category, to identify problem units</w:t>
      </w:r>
    </w:p>
    <w:p>
      <w:pPr>
        <w:pStyle w:val="ListParagraph"/>
        <w:numPr>
          <w:ilvl w:val="0"/>
          <w:numId w:val="2"/>
        </w:numPr>
        <w:spacing w:after="60" w:line="276"/>
      </w:pPr>
      <w:r>
        <w:rPr>
          <w:rFonts w:ascii="Calibri" w:cs="Calibri" w:eastAsia="Calibri" w:hAnsi="Calibri"/>
          <w:sz w:val="21"/>
          <w:szCs w:val="21"/>
        </w:rPr>
        <w:t xml:space="preserve">Compliance status report for all properties</w:t>
      </w:r>
    </w:p>
    <w:p>
      <w:pPr>
        <w:pStyle w:val="ListParagraph"/>
        <w:numPr>
          <w:ilvl w:val="0"/>
          <w:numId w:val="2"/>
        </w:numPr>
        <w:spacing w:after="60" w:line="276"/>
      </w:pPr>
      <w:r>
        <w:rPr>
          <w:rFonts w:ascii="Calibri" w:cs="Calibri" w:eastAsia="Calibri" w:hAnsi="Calibri"/>
          <w:sz w:val="21"/>
          <w:szCs w:val="21"/>
        </w:rPr>
        <w:t xml:space="preserve">Tourism Dirham and VAT filing reports</w:t>
      </w:r>
    </w:p>
    <w:p>
      <w:pPr>
        <w:pStyle w:val="Heading2"/>
        <w:spacing w:after="120" w:before="240"/>
      </w:pPr>
      <w:r>
        <w:rPr>
          <w:rFonts w:ascii="Calibri" w:cs="Calibri" w:eastAsia="Calibri" w:hAnsi="Calibri"/>
          <w:b/>
          <w:bCs/>
          <w:color w:val="1F4E79"/>
          <w:sz w:val="24"/>
          <w:szCs w:val="24"/>
        </w:rPr>
        <w:t xml:space="preserve">4.9 Notifications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2600"/>
        <w:gridCol w:w="3226"/>
      </w:tblGrid>
      <w:tr>
        <w:trPr>
          <w:tblHeader/>
        </w:trPr>
        <w:tc>
          <w:tcPr>
            <w:tcW w:type="dxa" w:w="32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Trigger</w:t>
            </w:r>
          </w:p>
        </w:tc>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Recipient</w:t>
            </w:r>
          </w:p>
        </w:tc>
        <w:tc>
          <w:tcPr>
            <w:tcW w:type="dxa" w:w="32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Channel</w:t>
            </w:r>
          </w:p>
        </w:tc>
      </w:tr>
      <w:tr>
        <w:tc>
          <w:tcPr>
            <w:tcW w:type="dxa" w:w="3200"/>
            <w:tcMar>
              <w:top w:type="dxa" w:w="80"/>
              <w:left w:type="dxa" w:w="120"/>
              <w:bottom w:type="dxa" w:w="80"/>
              <w:right w:type="dxa" w:w="120"/>
            </w:tcMar>
          </w:tcPr>
          <w:p>
            <w:pPr>
              <w:spacing w:after="0" w:line="252"/>
            </w:pPr>
            <w:r>
              <w:rPr>
                <w:rFonts w:ascii="Calibri" w:cs="Calibri" w:eastAsia="Calibri" w:hAnsi="Calibri"/>
                <w:sz w:val="19"/>
                <w:szCs w:val="19"/>
              </w:rPr>
              <w:t xml:space="preserve">Guest registration deadline approaching</w:t>
            </w:r>
          </w:p>
        </w:tc>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Operations</w:t>
            </w:r>
          </w:p>
        </w:tc>
        <w:tc>
          <w:tcPr>
            <w:tcW w:type="dxa" w:w="3226"/>
            <w:tcMar>
              <w:top w:type="dxa" w:w="80"/>
              <w:left w:type="dxa" w:w="120"/>
              <w:bottom w:type="dxa" w:w="80"/>
              <w:right w:type="dxa" w:w="120"/>
            </w:tcMar>
          </w:tcPr>
          <w:p>
            <w:pPr>
              <w:spacing w:after="0" w:line="252"/>
            </w:pPr>
            <w:r>
              <w:rPr>
                <w:rFonts w:ascii="Calibri" w:cs="Calibri" w:eastAsia="Calibri" w:hAnsi="Calibri"/>
                <w:sz w:val="19"/>
                <w:szCs w:val="19"/>
              </w:rPr>
              <w:t xml:space="preserve">Push, WhatsApp, email — escalating</w:t>
            </w:r>
          </w:p>
        </w:tc>
      </w:tr>
      <w:tr>
        <w:tc>
          <w:tcPr>
            <w:tcW w:type="dxa" w:w="3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Permit or document expiring (90/60/30/7 days)</w:t>
            </w:r>
          </w:p>
        </w:tc>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Owner, operations</w:t>
            </w:r>
          </w:p>
        </w:tc>
        <w:tc>
          <w:tcPr>
            <w:tcW w:type="dxa" w:w="3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Email, dashboard</w:t>
            </w:r>
          </w:p>
        </w:tc>
      </w:tr>
      <w:tr>
        <w:tc>
          <w:tcPr>
            <w:tcW w:type="dxa" w:w="3200"/>
            <w:tcMar>
              <w:top w:type="dxa" w:w="80"/>
              <w:left w:type="dxa" w:w="120"/>
              <w:bottom w:type="dxa" w:w="80"/>
              <w:right w:type="dxa" w:w="120"/>
            </w:tcMar>
          </w:tcPr>
          <w:p>
            <w:pPr>
              <w:spacing w:after="0" w:line="252"/>
            </w:pPr>
            <w:r>
              <w:rPr>
                <w:rFonts w:ascii="Calibri" w:cs="Calibri" w:eastAsia="Calibri" w:hAnsi="Calibri"/>
                <w:sz w:val="19"/>
                <w:szCs w:val="19"/>
              </w:rPr>
              <w:t xml:space="preserve">New booking received</w:t>
            </w:r>
          </w:p>
        </w:tc>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Owner, operations</w:t>
            </w:r>
          </w:p>
        </w:tc>
        <w:tc>
          <w:tcPr>
            <w:tcW w:type="dxa" w:w="3226"/>
            <w:tcMar>
              <w:top w:type="dxa" w:w="80"/>
              <w:left w:type="dxa" w:w="120"/>
              <w:bottom w:type="dxa" w:w="80"/>
              <w:right w:type="dxa" w:w="120"/>
            </w:tcMar>
          </w:tcPr>
          <w:p>
            <w:pPr>
              <w:spacing w:after="0" w:line="252"/>
            </w:pPr>
            <w:r>
              <w:rPr>
                <w:rFonts w:ascii="Calibri" w:cs="Calibri" w:eastAsia="Calibri" w:hAnsi="Calibri"/>
                <w:sz w:val="19"/>
                <w:szCs w:val="19"/>
              </w:rPr>
              <w:t xml:space="preserve">Push, email</w:t>
            </w:r>
          </w:p>
        </w:tc>
      </w:tr>
      <w:tr>
        <w:tc>
          <w:tcPr>
            <w:tcW w:type="dxa" w:w="3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Payment received or failed</w:t>
            </w:r>
          </w:p>
        </w:tc>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Owner, finance</w:t>
            </w:r>
          </w:p>
        </w:tc>
        <w:tc>
          <w:tcPr>
            <w:tcW w:type="dxa" w:w="3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Email</w:t>
            </w:r>
          </w:p>
        </w:tc>
      </w:tr>
      <w:tr>
        <w:tc>
          <w:tcPr>
            <w:tcW w:type="dxa" w:w="3200"/>
            <w:tcMar>
              <w:top w:type="dxa" w:w="80"/>
              <w:left w:type="dxa" w:w="120"/>
              <w:bottom w:type="dxa" w:w="80"/>
              <w:right w:type="dxa" w:w="120"/>
            </w:tcMar>
          </w:tcPr>
          <w:p>
            <w:pPr>
              <w:spacing w:after="0" w:line="252"/>
            </w:pPr>
            <w:r>
              <w:rPr>
                <w:rFonts w:ascii="Calibri" w:cs="Calibri" w:eastAsia="Calibri" w:hAnsi="Calibri"/>
                <w:sz w:val="19"/>
                <w:szCs w:val="19"/>
              </w:rPr>
              <w:t xml:space="preserve">Balance payment overdue</w:t>
            </w:r>
          </w:p>
        </w:tc>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Guest, finance</w:t>
            </w:r>
          </w:p>
        </w:tc>
        <w:tc>
          <w:tcPr>
            <w:tcW w:type="dxa" w:w="3226"/>
            <w:tcMar>
              <w:top w:type="dxa" w:w="80"/>
              <w:left w:type="dxa" w:w="120"/>
              <w:bottom w:type="dxa" w:w="80"/>
              <w:right w:type="dxa" w:w="120"/>
            </w:tcMar>
          </w:tcPr>
          <w:p>
            <w:pPr>
              <w:spacing w:after="0" w:line="252"/>
            </w:pPr>
            <w:r>
              <w:rPr>
                <w:rFonts w:ascii="Calibri" w:cs="Calibri" w:eastAsia="Calibri" w:hAnsi="Calibri"/>
                <w:sz w:val="19"/>
                <w:szCs w:val="19"/>
              </w:rPr>
              <w:t xml:space="preserve">Email, WhatsApp</w:t>
            </w:r>
          </w:p>
        </w:tc>
      </w:tr>
      <w:tr>
        <w:tc>
          <w:tcPr>
            <w:tcW w:type="dxa" w:w="3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Check-in tomorrow</w:t>
            </w:r>
          </w:p>
        </w:tc>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operations</w:t>
            </w:r>
          </w:p>
        </w:tc>
        <w:tc>
          <w:tcPr>
            <w:tcW w:type="dxa" w:w="3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Email, WhatsApp</w:t>
            </w:r>
          </w:p>
        </w:tc>
      </w:tr>
      <w:tr>
        <w:tc>
          <w:tcPr>
            <w:tcW w:type="dxa" w:w="3200"/>
            <w:tcMar>
              <w:top w:type="dxa" w:w="80"/>
              <w:left w:type="dxa" w:w="120"/>
              <w:bottom w:type="dxa" w:w="80"/>
              <w:right w:type="dxa" w:w="120"/>
            </w:tcMar>
          </w:tcPr>
          <w:p>
            <w:pPr>
              <w:spacing w:after="0" w:line="252"/>
            </w:pPr>
            <w:r>
              <w:rPr>
                <w:rFonts w:ascii="Calibri" w:cs="Calibri" w:eastAsia="Calibri" w:hAnsi="Calibri"/>
                <w:sz w:val="19"/>
                <w:szCs w:val="19"/>
              </w:rPr>
              <w:t xml:space="preserve">Cleaning task assigned</w:t>
            </w:r>
          </w:p>
        </w:tc>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Cleaner</w:t>
            </w:r>
          </w:p>
        </w:tc>
        <w:tc>
          <w:tcPr>
            <w:tcW w:type="dxa" w:w="3226"/>
            <w:tcMar>
              <w:top w:type="dxa" w:w="80"/>
              <w:left w:type="dxa" w:w="120"/>
              <w:bottom w:type="dxa" w:w="80"/>
              <w:right w:type="dxa" w:w="120"/>
            </w:tcMar>
          </w:tcPr>
          <w:p>
            <w:pPr>
              <w:spacing w:after="0" w:line="252"/>
            </w:pPr>
            <w:r>
              <w:rPr>
                <w:rFonts w:ascii="Calibri" w:cs="Calibri" w:eastAsia="Calibri" w:hAnsi="Calibri"/>
                <w:sz w:val="19"/>
                <w:szCs w:val="19"/>
              </w:rPr>
              <w:t xml:space="preserve">Push, WhatsApp</w:t>
            </w:r>
          </w:p>
        </w:tc>
      </w:tr>
      <w:tr>
        <w:tc>
          <w:tcPr>
            <w:tcW w:type="dxa" w:w="3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Urgent maintenance raised</w:t>
            </w:r>
          </w:p>
        </w:tc>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Operations, owner</w:t>
            </w:r>
          </w:p>
        </w:tc>
        <w:tc>
          <w:tcPr>
            <w:tcW w:type="dxa" w:w="3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Push, WhatsApp</w:t>
            </w:r>
          </w:p>
        </w:tc>
      </w:tr>
      <w:tr>
        <w:tc>
          <w:tcPr>
            <w:tcW w:type="dxa" w:w="3200"/>
            <w:tcMar>
              <w:top w:type="dxa" w:w="80"/>
              <w:left w:type="dxa" w:w="120"/>
              <w:bottom w:type="dxa" w:w="80"/>
              <w:right w:type="dxa" w:w="120"/>
            </w:tcMar>
          </w:tcPr>
          <w:p>
            <w:pPr>
              <w:spacing w:after="0" w:line="252"/>
            </w:pPr>
            <w:r>
              <w:rPr>
                <w:rFonts w:ascii="Calibri" w:cs="Calibri" w:eastAsia="Calibri" w:hAnsi="Calibri"/>
                <w:sz w:val="19"/>
                <w:szCs w:val="19"/>
              </w:rPr>
              <w:t xml:space="preserve">Preventive maintenance due</w:t>
            </w:r>
          </w:p>
        </w:tc>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Operations</w:t>
            </w:r>
          </w:p>
        </w:tc>
        <w:tc>
          <w:tcPr>
            <w:tcW w:type="dxa" w:w="3226"/>
            <w:tcMar>
              <w:top w:type="dxa" w:w="80"/>
              <w:left w:type="dxa" w:w="120"/>
              <w:bottom w:type="dxa" w:w="80"/>
              <w:right w:type="dxa" w:w="120"/>
            </w:tcMar>
          </w:tcPr>
          <w:p>
            <w:pPr>
              <w:spacing w:after="0" w:line="252"/>
            </w:pPr>
            <w:r>
              <w:rPr>
                <w:rFonts w:ascii="Calibri" w:cs="Calibri" w:eastAsia="Calibri" w:hAnsi="Calibri"/>
                <w:sz w:val="19"/>
                <w:szCs w:val="19"/>
              </w:rPr>
              <w:t xml:space="preserve">Email, dashboard</w:t>
            </w:r>
          </w:p>
        </w:tc>
      </w:tr>
      <w:tr>
        <w:tc>
          <w:tcPr>
            <w:tcW w:type="dxa" w:w="3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VAT threshold approaching</w:t>
            </w:r>
          </w:p>
        </w:tc>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Owner</w:t>
            </w:r>
          </w:p>
        </w:tc>
        <w:tc>
          <w:tcPr>
            <w:tcW w:type="dxa" w:w="3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Email</w:t>
            </w:r>
          </w:p>
        </w:tc>
      </w:tr>
      <w:tr>
        <w:tc>
          <w:tcPr>
            <w:tcW w:type="dxa" w:w="3200"/>
            <w:tcMar>
              <w:top w:type="dxa" w:w="80"/>
              <w:left w:type="dxa" w:w="120"/>
              <w:bottom w:type="dxa" w:w="80"/>
              <w:right w:type="dxa" w:w="120"/>
            </w:tcMar>
          </w:tcPr>
          <w:p>
            <w:pPr>
              <w:spacing w:after="0" w:line="252"/>
            </w:pPr>
            <w:r>
              <w:rPr>
                <w:rFonts w:ascii="Calibri" w:cs="Calibri" w:eastAsia="Calibri" w:hAnsi="Calibri"/>
                <w:sz w:val="19"/>
                <w:szCs w:val="19"/>
              </w:rPr>
              <w:t xml:space="preserve">Monthly Tourism Dirham filing due</w:t>
            </w:r>
          </w:p>
        </w:tc>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Finance</w:t>
            </w:r>
          </w:p>
        </w:tc>
        <w:tc>
          <w:tcPr>
            <w:tcW w:type="dxa" w:w="3226"/>
            <w:tcMar>
              <w:top w:type="dxa" w:w="80"/>
              <w:left w:type="dxa" w:w="120"/>
              <w:bottom w:type="dxa" w:w="80"/>
              <w:right w:type="dxa" w:w="120"/>
            </w:tcMar>
          </w:tcPr>
          <w:p>
            <w:pPr>
              <w:spacing w:after="0" w:line="252"/>
            </w:pPr>
            <w:r>
              <w:rPr>
                <w:rFonts w:ascii="Calibri" w:cs="Calibri" w:eastAsia="Calibri" w:hAnsi="Calibri"/>
                <w:sz w:val="19"/>
                <w:szCs w:val="19"/>
              </w:rPr>
              <w:t xml:space="preserve">Email</w:t>
            </w:r>
          </w:p>
        </w:tc>
      </w:tr>
    </w:tbl>
    <w:p>
      <w:r>
        <w:br w:type="page"/>
      </w:r>
    </w:p>
    <w:p>
      <w:pPr>
        <w:pStyle w:val="Heading1"/>
        <w:spacing w:after="160" w:before="320"/>
      </w:pPr>
      <w:r>
        <w:rPr>
          <w:rFonts w:ascii="Calibri" w:cs="Calibri" w:eastAsia="Calibri" w:hAnsi="Calibri"/>
          <w:b/>
          <w:bCs/>
          <w:color w:val="1F4E79"/>
          <w:sz w:val="30"/>
          <w:szCs w:val="30"/>
        </w:rPr>
        <w:t xml:space="preserve">5. Data Model</w:t>
      </w:r>
    </w:p>
    <w:p>
      <w:pPr>
        <w:spacing w:after="120" w:line="276"/>
      </w:pPr>
      <w:r>
        <w:rPr>
          <w:rFonts w:ascii="Calibri" w:cs="Calibri" w:eastAsia="Calibri" w:hAnsi="Calibri"/>
          <w:sz w:val="21"/>
          <w:szCs w:val="21"/>
        </w:rPr>
        <w:t xml:space="preserve">Principal entities and their relationships. Every table carries created and updated timestamps and an actor reference for audit purposes.</w:t>
      </w:r>
    </w:p>
    <w:p>
      <w:pPr>
        <w:pStyle w:val="Heading2"/>
        <w:spacing w:after="120" w:before="240"/>
      </w:pPr>
      <w:r>
        <w:rPr>
          <w:rFonts w:ascii="Calibri" w:cs="Calibri" w:eastAsia="Calibri" w:hAnsi="Calibri"/>
          <w:b/>
          <w:bCs/>
          <w:color w:val="1F4E79"/>
          <w:sz w:val="24"/>
          <w:szCs w:val="24"/>
        </w:rPr>
        <w:t xml:space="preserve">5.1 Core entities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1800"/>
        <w:gridCol w:w="4226"/>
        <w:gridCol w:w="3000"/>
      </w:tblGrid>
      <w:tr>
        <w:trPr>
          <w:tblHeader/>
        </w:trPr>
        <w:tc>
          <w:tcPr>
            <w:tcW w:type="dxa" w:w="18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Entity</w:t>
            </w:r>
          </w:p>
        </w:tc>
        <w:tc>
          <w:tcPr>
            <w:tcW w:type="dxa" w:w="42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Key attributes</w:t>
            </w:r>
          </w:p>
        </w:tc>
        <w:tc>
          <w:tcPr>
            <w:tcW w:type="dxa" w:w="30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Relationships</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Property</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reference, name, address, area, type, bedrooms, bathrooms, max occupancy, size, DET classification, status</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has many PropertyPhoto, Document, UtilityAccount, Booking, WorkOrder, Asset, Expense; belongs to Owner</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Owner</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name, ID type and number, nationality, contact, bank details</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has many Property</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PropertyPhoto</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url, caption, room tag, sort order, is cover</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Document</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type, reference, issuer, issue date, expiry date, file url, status</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 (polymorphic owner)</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UtilityAccount</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type, provider, account number, premise number, billing cycle, average cost, autopay</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full name, nationality, DOB, document type and number, expiry, contact, flags, consent record</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has many Booking as lead; has many BookingOccupant</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Booking</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number, dates, party counts, occupied bedrooms, status, price breakdown, channel, DET registration fields</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 and Guest; has many BookingOccupant, Payment, CleaningTask</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BookingOccupant</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reference, is lead, document image reference, DET submission status</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belongs to Booking and Guest</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Payment</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type, amount, currency, method, status, reference, paid date</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belongs to Booking</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RatePlan</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property, date range, nightly rate, min stay, weekend modifier, discounts</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Expense</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property, category, vendor, amount, date, recurring flag, invoice file</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 may belong to WorkOrder</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WorkOrder</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property, category, description, priority, status, reported by, vendor, cost, photos</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 may belong to Booking and Asset</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MaintenanceSchedule</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property, task, interval, last done, next due, assigned vendor</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Asset</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property, name, category, brand, serial, purchase date, warranty expiry</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 has many WorkOrder</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Vendor</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name, trade, contact, rate, response time, rating</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has many WorkOrder</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CleaningTask</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property, booking, scheduled date, assignee, status, checklist, photos</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belongs to Property and Booking</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ComplianceTask</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type, related booking or property, due timestamp, status, completed at, reference</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belongs to Booking or Property</w:t>
            </w:r>
          </w:p>
        </w:tc>
      </w:tr>
      <w:tr>
        <w:tc>
          <w:tcPr>
            <w:tcW w:type="dxa" w:w="1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User</w:t>
            </w:r>
          </w:p>
        </w:tc>
        <w:tc>
          <w:tcPr>
            <w:tcW w:type="dxa" w:w="4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name, email, role, permissions, status, last login</w:t>
            </w:r>
          </w:p>
        </w:tc>
        <w:tc>
          <w:tcPr>
            <w:tcW w:type="dxa" w:w="30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performs actions across all entities</w:t>
            </w:r>
          </w:p>
        </w:tc>
      </w:tr>
      <w:tr>
        <w:tc>
          <w:tcPr>
            <w:tcW w:type="dxa" w:w="1800"/>
            <w:tcMar>
              <w:top w:type="dxa" w:w="80"/>
              <w:left w:type="dxa" w:w="120"/>
              <w:bottom w:type="dxa" w:w="80"/>
              <w:right w:type="dxa" w:w="120"/>
            </w:tcMar>
          </w:tcPr>
          <w:p>
            <w:pPr>
              <w:spacing w:after="0" w:line="252"/>
            </w:pPr>
            <w:r>
              <w:rPr>
                <w:rFonts w:ascii="Calibri" w:cs="Calibri" w:eastAsia="Calibri" w:hAnsi="Calibri"/>
                <w:sz w:val="19"/>
                <w:szCs w:val="19"/>
              </w:rPr>
              <w:t xml:space="preserve">AuditLog</w:t>
            </w:r>
          </w:p>
        </w:tc>
        <w:tc>
          <w:tcPr>
            <w:tcW w:type="dxa" w:w="4226"/>
            <w:tcMar>
              <w:top w:type="dxa" w:w="80"/>
              <w:left w:type="dxa" w:w="120"/>
              <w:bottom w:type="dxa" w:w="80"/>
              <w:right w:type="dxa" w:w="120"/>
            </w:tcMar>
          </w:tcPr>
          <w:p>
            <w:pPr>
              <w:spacing w:after="0" w:line="252"/>
            </w:pPr>
            <w:r>
              <w:rPr>
                <w:rFonts w:ascii="Calibri" w:cs="Calibri" w:eastAsia="Calibri" w:hAnsi="Calibri"/>
                <w:sz w:val="19"/>
                <w:szCs w:val="19"/>
              </w:rPr>
              <w:t xml:space="preserve">actor, action, entity type and id, before, after, timestamp, IP</w:t>
            </w:r>
          </w:p>
        </w:tc>
        <w:tc>
          <w:tcPr>
            <w:tcW w:type="dxa" w:w="3000"/>
            <w:tcMar>
              <w:top w:type="dxa" w:w="80"/>
              <w:left w:type="dxa" w:w="120"/>
              <w:bottom w:type="dxa" w:w="80"/>
              <w:right w:type="dxa" w:w="120"/>
            </w:tcMar>
          </w:tcPr>
          <w:p>
            <w:pPr>
              <w:spacing w:after="0" w:line="252"/>
            </w:pPr>
            <w:r>
              <w:rPr>
                <w:rFonts w:ascii="Calibri" w:cs="Calibri" w:eastAsia="Calibri" w:hAnsi="Calibri"/>
                <w:sz w:val="19"/>
                <w:szCs w:val="19"/>
              </w:rPr>
              <w:t xml:space="preserve">references any entity</w:t>
            </w:r>
          </w:p>
        </w:tc>
      </w:tr>
    </w:tbl>
    <w:p>
      <w:pPr>
        <w:pStyle w:val="Heading2"/>
        <w:spacing w:after="120" w:before="240"/>
      </w:pPr>
      <w:r>
        <w:rPr>
          <w:rFonts w:ascii="Calibri" w:cs="Calibri" w:eastAsia="Calibri" w:hAnsi="Calibri"/>
          <w:b/>
          <w:bCs/>
          <w:color w:val="1F4E79"/>
          <w:sz w:val="24"/>
          <w:szCs w:val="24"/>
        </w:rPr>
        <w:t xml:space="preserve">5.2 Relationship notes</w:t>
      </w:r>
    </w:p>
    <w:p>
      <w:pPr>
        <w:pStyle w:val="ListParagraph"/>
        <w:numPr>
          <w:ilvl w:val="0"/>
          <w:numId w:val="2"/>
        </w:numPr>
        <w:spacing w:after="60" w:line="276"/>
      </w:pPr>
      <w:r>
        <w:rPr>
          <w:rFonts w:ascii="Calibri" w:cs="Calibri" w:eastAsia="Calibri" w:hAnsi="Calibri"/>
          <w:sz w:val="21"/>
          <w:szCs w:val="21"/>
        </w:rPr>
        <w:t xml:space="preserve">A Booking has exactly one lead Guest but many BookingOccupants; DET registration is tracked per occupant, since each person needs identification.</w:t>
      </w:r>
    </w:p>
    <w:p>
      <w:pPr>
        <w:pStyle w:val="ListParagraph"/>
        <w:numPr>
          <w:ilvl w:val="0"/>
          <w:numId w:val="2"/>
        </w:numPr>
        <w:spacing w:after="60" w:line="276"/>
      </w:pPr>
      <w:r>
        <w:rPr>
          <w:rFonts w:ascii="Calibri" w:cs="Calibri" w:eastAsia="Calibri" w:hAnsi="Calibri"/>
          <w:sz w:val="21"/>
          <w:szCs w:val="21"/>
        </w:rPr>
        <w:t xml:space="preserve">Documents are polymorphic — they can attach to a Property, an Owner, a Guest or a Booking — but expiry alerting is uniform across all of them.</w:t>
      </w:r>
    </w:p>
    <w:p>
      <w:pPr>
        <w:pStyle w:val="ListParagraph"/>
        <w:numPr>
          <w:ilvl w:val="0"/>
          <w:numId w:val="2"/>
        </w:numPr>
        <w:spacing w:after="60" w:line="276"/>
      </w:pPr>
      <w:r>
        <w:rPr>
          <w:rFonts w:ascii="Calibri" w:cs="Calibri" w:eastAsia="Calibri" w:hAnsi="Calibri"/>
          <w:sz w:val="21"/>
          <w:szCs w:val="21"/>
        </w:rPr>
        <w:t xml:space="preserve">Expenses can originate independently (a utility bill) or from a WorkOrder, so the link is optional in one direction.</w:t>
      </w:r>
    </w:p>
    <w:p>
      <w:pPr>
        <w:pStyle w:val="ListParagraph"/>
        <w:numPr>
          <w:ilvl w:val="0"/>
          <w:numId w:val="2"/>
        </w:numPr>
        <w:spacing w:after="60" w:line="276"/>
      </w:pPr>
      <w:r>
        <w:rPr>
          <w:rFonts w:ascii="Calibri" w:cs="Calibri" w:eastAsia="Calibri" w:hAnsi="Calibri"/>
          <w:sz w:val="21"/>
          <w:szCs w:val="21"/>
        </w:rPr>
        <w:t xml:space="preserve">ComplianceTask is deliberately generic so that guest registration, permit renewal and monthly filings all appear in one queue.</w:t>
      </w:r>
    </w:p>
    <w:p>
      <w:pPr>
        <w:pStyle w:val="ListParagraph"/>
        <w:numPr>
          <w:ilvl w:val="0"/>
          <w:numId w:val="2"/>
        </w:numPr>
        <w:spacing w:after="60" w:line="276"/>
      </w:pPr>
      <w:r>
        <w:rPr>
          <w:rFonts w:ascii="Calibri" w:cs="Calibri" w:eastAsia="Calibri" w:hAnsi="Calibri"/>
          <w:sz w:val="21"/>
          <w:szCs w:val="21"/>
        </w:rPr>
        <w:t xml:space="preserve">Money is stored in minor units as integers, never as floating point, with an explicit currency code alongside.</w:t>
      </w:r>
    </w:p>
    <w:p>
      <w:r>
        <w:br w:type="page"/>
      </w:r>
    </w:p>
    <w:p>
      <w:pPr>
        <w:pStyle w:val="Heading1"/>
        <w:spacing w:after="160" w:before="320"/>
      </w:pPr>
      <w:r>
        <w:rPr>
          <w:rFonts w:ascii="Calibri" w:cs="Calibri" w:eastAsia="Calibri" w:hAnsi="Calibri"/>
          <w:b/>
          <w:bCs/>
          <w:color w:val="1F4E79"/>
          <w:sz w:val="30"/>
          <w:szCs w:val="30"/>
        </w:rPr>
        <w:t xml:space="preserve">6. Technical Architecture</w:t>
      </w:r>
    </w:p>
    <w:p>
      <w:pPr>
        <w:pStyle w:val="Heading2"/>
        <w:spacing w:after="120" w:before="240"/>
      </w:pPr>
      <w:r>
        <w:rPr>
          <w:rFonts w:ascii="Calibri" w:cs="Calibri" w:eastAsia="Calibri" w:hAnsi="Calibri"/>
          <w:b/>
          <w:bCs/>
          <w:color w:val="1F4E79"/>
          <w:sz w:val="24"/>
          <w:szCs w:val="24"/>
        </w:rPr>
        <w:t xml:space="preserve">6.1 Recommended stack</w:t>
      </w:r>
    </w:p>
    <w:p>
      <w:pPr>
        <w:spacing w:after="120" w:line="276"/>
      </w:pPr>
      <w:r>
        <w:rPr>
          <w:rFonts w:ascii="Calibri" w:cs="Calibri" w:eastAsia="Calibri" w:hAnsi="Calibri"/>
          <w:sz w:val="21"/>
          <w:szCs w:val="21"/>
        </w:rPr>
        <w:t xml:space="preserve">Chosen for a small portfolio, a single operator, low running cost and the ability to hand the codebase to any competent developer later.</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1700"/>
        <w:gridCol w:w="2700"/>
        <w:gridCol w:w="4626"/>
      </w:tblGrid>
      <w:tr>
        <w:trPr>
          <w:tblHeader/>
        </w:trPr>
        <w:tc>
          <w:tcPr>
            <w:tcW w:type="dxa" w:w="17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Layer</w:t>
            </w:r>
          </w:p>
        </w:tc>
        <w:tc>
          <w:tcPr>
            <w:tcW w:type="dxa" w:w="27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Recommendation</w:t>
            </w:r>
          </w:p>
        </w:tc>
        <w:tc>
          <w:tcPr>
            <w:tcW w:type="dxa" w:w="46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Reasoning</w:t>
            </w:r>
          </w:p>
        </w:tc>
      </w:tr>
      <w:tr>
        <w:tc>
          <w:tcPr>
            <w:tcW w:type="dxa" w:w="1700"/>
            <w:tcMar>
              <w:top w:type="dxa" w:w="80"/>
              <w:left w:type="dxa" w:w="120"/>
              <w:bottom w:type="dxa" w:w="80"/>
              <w:right w:type="dxa" w:w="120"/>
            </w:tcMar>
          </w:tcPr>
          <w:p>
            <w:pPr>
              <w:spacing w:after="0" w:line="252"/>
            </w:pPr>
            <w:r>
              <w:rPr>
                <w:rFonts w:ascii="Calibri" w:cs="Calibri" w:eastAsia="Calibri" w:hAnsi="Calibri"/>
                <w:sz w:val="19"/>
                <w:szCs w:val="19"/>
              </w:rPr>
              <w:t xml:space="preserve">Frontend &amp; backend</w:t>
            </w:r>
          </w:p>
        </w:tc>
        <w:tc>
          <w:tcPr>
            <w:tcW w:type="dxa" w:w="2700"/>
            <w:tcMar>
              <w:top w:type="dxa" w:w="80"/>
              <w:left w:type="dxa" w:w="120"/>
              <w:bottom w:type="dxa" w:w="80"/>
              <w:right w:type="dxa" w:w="120"/>
            </w:tcMar>
          </w:tcPr>
          <w:p>
            <w:pPr>
              <w:spacing w:after="0" w:line="252"/>
            </w:pPr>
            <w:r>
              <w:rPr>
                <w:rFonts w:ascii="Calibri" w:cs="Calibri" w:eastAsia="Calibri" w:hAnsi="Calibri"/>
                <w:sz w:val="19"/>
                <w:szCs w:val="19"/>
              </w:rPr>
              <w:t xml:space="preserve">Next.js with TypeScript (App Router)</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One codebase and one deployment for UI and API. Server components keep sensitive queries off the client. Large hiring pool.</w:t>
            </w:r>
          </w:p>
        </w:tc>
      </w:tr>
      <w:tr>
        <w:tc>
          <w:tcPr>
            <w:tcW w:type="dxa" w:w="1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Database</w:t>
            </w:r>
          </w:p>
        </w:tc>
        <w:tc>
          <w:tcPr>
            <w:tcW w:type="dxa" w:w="2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PostgreSQL</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Date-range and overlap queries are central to a booking calendar, and Postgres handles them natively with exclusion constraints that make double-booking impossible at the database level.</w:t>
            </w:r>
          </w:p>
        </w:tc>
      </w:tr>
      <w:tr>
        <w:tc>
          <w:tcPr>
            <w:tcW w:type="dxa" w:w="1700"/>
            <w:tcMar>
              <w:top w:type="dxa" w:w="80"/>
              <w:left w:type="dxa" w:w="120"/>
              <w:bottom w:type="dxa" w:w="80"/>
              <w:right w:type="dxa" w:w="120"/>
            </w:tcMar>
          </w:tcPr>
          <w:p>
            <w:pPr>
              <w:spacing w:after="0" w:line="252"/>
            </w:pPr>
            <w:r>
              <w:rPr>
                <w:rFonts w:ascii="Calibri" w:cs="Calibri" w:eastAsia="Calibri" w:hAnsi="Calibri"/>
                <w:sz w:val="19"/>
                <w:szCs w:val="19"/>
              </w:rPr>
              <w:t xml:space="preserve">ORM</w:t>
            </w:r>
          </w:p>
        </w:tc>
        <w:tc>
          <w:tcPr>
            <w:tcW w:type="dxa" w:w="2700"/>
            <w:tcMar>
              <w:top w:type="dxa" w:w="80"/>
              <w:left w:type="dxa" w:w="120"/>
              <w:bottom w:type="dxa" w:w="80"/>
              <w:right w:type="dxa" w:w="120"/>
            </w:tcMar>
          </w:tcPr>
          <w:p>
            <w:pPr>
              <w:spacing w:after="0" w:line="252"/>
            </w:pPr>
            <w:r>
              <w:rPr>
                <w:rFonts w:ascii="Calibri" w:cs="Calibri" w:eastAsia="Calibri" w:hAnsi="Calibri"/>
                <w:sz w:val="19"/>
                <w:szCs w:val="19"/>
              </w:rPr>
              <w:t xml:space="preserve">Prisma or Drizzle</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Typed schema and migrations; keeps the data model in version control.</w:t>
            </w:r>
          </w:p>
        </w:tc>
      </w:tr>
      <w:tr>
        <w:tc>
          <w:tcPr>
            <w:tcW w:type="dxa" w:w="1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Authentication</w:t>
            </w:r>
          </w:p>
        </w:tc>
        <w:tc>
          <w:tcPr>
            <w:tcW w:type="dxa" w:w="2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Managed provider with role support</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Do not build authentication. Use a provider offering multi-factor authentication and role-based access.</w:t>
            </w:r>
          </w:p>
        </w:tc>
      </w:tr>
      <w:tr>
        <w:tc>
          <w:tcPr>
            <w:tcW w:type="dxa" w:w="1700"/>
            <w:tcMar>
              <w:top w:type="dxa" w:w="80"/>
              <w:left w:type="dxa" w:w="120"/>
              <w:bottom w:type="dxa" w:w="80"/>
              <w:right w:type="dxa" w:w="120"/>
            </w:tcMar>
          </w:tcPr>
          <w:p>
            <w:pPr>
              <w:spacing w:after="0" w:line="252"/>
            </w:pPr>
            <w:r>
              <w:rPr>
                <w:rFonts w:ascii="Calibri" w:cs="Calibri" w:eastAsia="Calibri" w:hAnsi="Calibri"/>
                <w:sz w:val="19"/>
                <w:szCs w:val="19"/>
              </w:rPr>
              <w:t xml:space="preserve">File storage</w:t>
            </w:r>
          </w:p>
        </w:tc>
        <w:tc>
          <w:tcPr>
            <w:tcW w:type="dxa" w:w="2700"/>
            <w:tcMar>
              <w:top w:type="dxa" w:w="80"/>
              <w:left w:type="dxa" w:w="120"/>
              <w:bottom w:type="dxa" w:w="80"/>
              <w:right w:type="dxa" w:w="120"/>
            </w:tcMar>
          </w:tcPr>
          <w:p>
            <w:pPr>
              <w:spacing w:after="0" w:line="252"/>
            </w:pPr>
            <w:r>
              <w:rPr>
                <w:rFonts w:ascii="Calibri" w:cs="Calibri" w:eastAsia="Calibri" w:hAnsi="Calibri"/>
                <w:sz w:val="19"/>
                <w:szCs w:val="19"/>
              </w:rPr>
              <w:t xml:space="preserve">S3-compatible object storage, server-side encrypted</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Photos and documents. Passport scans stored in a separate bucket with stricter policy and short-lived signed URLs.</w:t>
            </w:r>
          </w:p>
        </w:tc>
      </w:tr>
      <w:tr>
        <w:tc>
          <w:tcPr>
            <w:tcW w:type="dxa" w:w="1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Payments</w:t>
            </w:r>
          </w:p>
        </w:tc>
        <w:tc>
          <w:tcPr>
            <w:tcW w:type="dxa" w:w="2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Stripe, or a UAE gateway such as Telr or Network International</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Stripe is simplest to build against; a local gateway may give better AED economics. Decision needed.</w:t>
            </w:r>
          </w:p>
        </w:tc>
      </w:tr>
      <w:tr>
        <w:tc>
          <w:tcPr>
            <w:tcW w:type="dxa" w:w="1700"/>
            <w:tcMar>
              <w:top w:type="dxa" w:w="80"/>
              <w:left w:type="dxa" w:w="120"/>
              <w:bottom w:type="dxa" w:w="80"/>
              <w:right w:type="dxa" w:w="120"/>
            </w:tcMar>
          </w:tcPr>
          <w:p>
            <w:pPr>
              <w:spacing w:after="0" w:line="252"/>
            </w:pPr>
            <w:r>
              <w:rPr>
                <w:rFonts w:ascii="Calibri" w:cs="Calibri" w:eastAsia="Calibri" w:hAnsi="Calibri"/>
                <w:sz w:val="19"/>
                <w:szCs w:val="19"/>
              </w:rPr>
              <w:t xml:space="preserve">Background jobs</w:t>
            </w:r>
          </w:p>
        </w:tc>
        <w:tc>
          <w:tcPr>
            <w:tcW w:type="dxa" w:w="2700"/>
            <w:tcMar>
              <w:top w:type="dxa" w:w="80"/>
              <w:left w:type="dxa" w:w="120"/>
              <w:bottom w:type="dxa" w:w="80"/>
              <w:right w:type="dxa" w:w="120"/>
            </w:tcMar>
          </w:tcPr>
          <w:p>
            <w:pPr>
              <w:spacing w:after="0" w:line="252"/>
            </w:pPr>
            <w:r>
              <w:rPr>
                <w:rFonts w:ascii="Calibri" w:cs="Calibri" w:eastAsia="Calibri" w:hAnsi="Calibri"/>
                <w:sz w:val="19"/>
                <w:szCs w:val="19"/>
              </w:rPr>
              <w:t xml:space="preserve">A managed queue or scheduler</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Deadline alerts, nightly channel sync, recurring expense generation, monthly filing reminders.</w:t>
            </w:r>
          </w:p>
        </w:tc>
      </w:tr>
      <w:tr>
        <w:tc>
          <w:tcPr>
            <w:tcW w:type="dxa" w:w="1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Messaging</w:t>
            </w:r>
          </w:p>
        </w:tc>
        <w:tc>
          <w:tcPr>
            <w:tcW w:type="dxa" w:w="2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Transactional email provider plus WhatsApp Business API</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WhatsApp is the practical channel for guests and cleaners in the region.</w:t>
            </w:r>
          </w:p>
        </w:tc>
      </w:tr>
      <w:tr>
        <w:tc>
          <w:tcPr>
            <w:tcW w:type="dxa" w:w="1700"/>
            <w:tcMar>
              <w:top w:type="dxa" w:w="80"/>
              <w:left w:type="dxa" w:w="120"/>
              <w:bottom w:type="dxa" w:w="80"/>
              <w:right w:type="dxa" w:w="120"/>
            </w:tcMar>
          </w:tcPr>
          <w:p>
            <w:pPr>
              <w:spacing w:after="0" w:line="252"/>
            </w:pPr>
            <w:r>
              <w:rPr>
                <w:rFonts w:ascii="Calibri" w:cs="Calibri" w:eastAsia="Calibri" w:hAnsi="Calibri"/>
                <w:sz w:val="19"/>
                <w:szCs w:val="19"/>
              </w:rPr>
              <w:t xml:space="preserve">Hosting</w:t>
            </w:r>
          </w:p>
        </w:tc>
        <w:tc>
          <w:tcPr>
            <w:tcW w:type="dxa" w:w="2700"/>
            <w:tcMar>
              <w:top w:type="dxa" w:w="80"/>
              <w:left w:type="dxa" w:w="120"/>
              <w:bottom w:type="dxa" w:w="80"/>
              <w:right w:type="dxa" w:w="120"/>
            </w:tcMar>
          </w:tcPr>
          <w:p>
            <w:pPr>
              <w:spacing w:after="0" w:line="252"/>
            </w:pPr>
            <w:r>
              <w:rPr>
                <w:rFonts w:ascii="Calibri" w:cs="Calibri" w:eastAsia="Calibri" w:hAnsi="Calibri"/>
                <w:sz w:val="19"/>
                <w:szCs w:val="19"/>
              </w:rPr>
              <w:t xml:space="preserve">Managed platform, UAE or nearest region</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Consider hosting data in the UAE if data residency is a concern for personal data.</w:t>
            </w:r>
          </w:p>
        </w:tc>
      </w:tr>
      <w:tr>
        <w:tc>
          <w:tcPr>
            <w:tcW w:type="dxa" w:w="1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Monitoring</w:t>
            </w:r>
          </w:p>
        </w:tc>
        <w:tc>
          <w:tcPr>
            <w:tcW w:type="dxa" w:w="27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Error tracking plus uptime monitoring</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 booking system that fails silently loses revenue.</w:t>
            </w:r>
          </w:p>
        </w:tc>
      </w:tr>
    </w:tbl>
    <w:tbl>
      <w:tblPr>
        <w:tblW w:type="dxa" w:w="9026"/>
        <w:tblBorders>
          <w:top w:val="single" w:color="1F4E79" w:sz="4"/>
          <w:left w:val="single" w:color="1F4E79" w:sz="16"/>
          <w:bottom w:val="single" w:color="1F4E79" w:sz="4"/>
          <w:right w:val="single" w:color="1F4E79" w:sz="4"/>
          <w:insideH w:val="none"/>
          <w:insideV w:val="none"/>
        </w:tblBorders>
      </w:tblPr>
      <w:tblGrid>
        <w:gridCol w:w="9026"/>
      </w:tblGrid>
      <w:tr>
        <w:tc>
          <w:tcPr>
            <w:tcW w:type="dxa" w:w="9026"/>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Why not build on a spreadsheet or an off-the-shelf PMS</w:t>
            </w:r>
          </w:p>
          <w:p>
            <w:pPr>
              <w:spacing w:after="0"/>
            </w:pPr>
            <w:r>
              <w:rPr>
                <w:rFonts w:ascii="Calibri" w:cs="Calibri" w:eastAsia="Calibri" w:hAnsi="Calibri"/>
                <w:sz w:val="20"/>
                <w:szCs w:val="20"/>
              </w:rPr>
              <w:t xml:space="preserve">For under about five units, a well-organised spreadsheet plus channel calendars genuinely works, and a custom build is hard to justify. Above that, the compliance deadlines and per-unit profitability questions start to require a real system. Established platforms such as Hostaway, Guesty or Lodgify cover booking and channel management well but are weak on Dubai-specific permit and Tourism Dirham workflows — which is the main argument for building. A reasonable hybrid is to use a platform for channel management and build a lighter compliance and finance layer around it.</w:t>
            </w:r>
          </w:p>
        </w:tc>
      </w:tr>
    </w:tbl>
    <w:p>
      <w:pPr>
        <w:pStyle w:val="Heading2"/>
        <w:spacing w:after="120" w:before="240"/>
      </w:pPr>
      <w:r>
        <w:rPr>
          <w:rFonts w:ascii="Calibri" w:cs="Calibri" w:eastAsia="Calibri" w:hAnsi="Calibri"/>
          <w:b/>
          <w:bCs/>
          <w:color w:val="1F4E79"/>
          <w:sz w:val="24"/>
          <w:szCs w:val="24"/>
        </w:rPr>
        <w:t xml:space="preserve">6.2 Application modules</w:t>
      </w:r>
    </w:p>
    <w:p>
      <w:pPr>
        <w:pStyle w:val="ListParagraph"/>
        <w:numPr>
          <w:ilvl w:val="0"/>
          <w:numId w:val="2"/>
        </w:numPr>
        <w:spacing w:after="60" w:line="276"/>
      </w:pPr>
      <w:r>
        <w:rPr>
          <w:rFonts w:ascii="Calibri" w:cs="Calibri" w:eastAsia="Calibri" w:hAnsi="Calibri"/>
          <w:sz w:val="21"/>
          <w:szCs w:val="21"/>
        </w:rPr>
        <w:t xml:space="preserve">Authentication and user management</w:t>
      </w:r>
    </w:p>
    <w:p>
      <w:pPr>
        <w:pStyle w:val="ListParagraph"/>
        <w:numPr>
          <w:ilvl w:val="0"/>
          <w:numId w:val="2"/>
        </w:numPr>
        <w:spacing w:after="60" w:line="276"/>
      </w:pPr>
      <w:r>
        <w:rPr>
          <w:rFonts w:ascii="Calibri" w:cs="Calibri" w:eastAsia="Calibri" w:hAnsi="Calibri"/>
          <w:sz w:val="21"/>
          <w:szCs w:val="21"/>
        </w:rPr>
        <w:t xml:space="preserve">Property module — records, photos, utilities, assets</w:t>
      </w:r>
    </w:p>
    <w:p>
      <w:pPr>
        <w:pStyle w:val="ListParagraph"/>
        <w:numPr>
          <w:ilvl w:val="0"/>
          <w:numId w:val="2"/>
        </w:numPr>
        <w:spacing w:after="60" w:line="276"/>
      </w:pPr>
      <w:r>
        <w:rPr>
          <w:rFonts w:ascii="Calibri" w:cs="Calibri" w:eastAsia="Calibri" w:hAnsi="Calibri"/>
          <w:sz w:val="21"/>
          <w:szCs w:val="21"/>
        </w:rPr>
        <w:t xml:space="preserve">Document and compliance module — vault, expiry engine, DET task queue</w:t>
      </w:r>
    </w:p>
    <w:p>
      <w:pPr>
        <w:pStyle w:val="ListParagraph"/>
        <w:numPr>
          <w:ilvl w:val="0"/>
          <w:numId w:val="2"/>
        </w:numPr>
        <w:spacing w:after="60" w:line="276"/>
      </w:pPr>
      <w:r>
        <w:rPr>
          <w:rFonts w:ascii="Calibri" w:cs="Calibri" w:eastAsia="Calibri" w:hAnsi="Calibri"/>
          <w:sz w:val="21"/>
          <w:szCs w:val="21"/>
        </w:rPr>
        <w:t xml:space="preserve">Guest CRM module</w:t>
      </w:r>
    </w:p>
    <w:p>
      <w:pPr>
        <w:pStyle w:val="ListParagraph"/>
        <w:numPr>
          <w:ilvl w:val="0"/>
          <w:numId w:val="2"/>
        </w:numPr>
        <w:spacing w:after="60" w:line="276"/>
      </w:pPr>
      <w:r>
        <w:rPr>
          <w:rFonts w:ascii="Calibri" w:cs="Calibri" w:eastAsia="Calibri" w:hAnsi="Calibri"/>
          <w:sz w:val="21"/>
          <w:szCs w:val="21"/>
        </w:rPr>
        <w:t xml:space="preserve">Booking module — calendar, availability, rules engine</w:t>
      </w:r>
    </w:p>
    <w:p>
      <w:pPr>
        <w:pStyle w:val="ListParagraph"/>
        <w:numPr>
          <w:ilvl w:val="0"/>
          <w:numId w:val="2"/>
        </w:numPr>
        <w:spacing w:after="60" w:line="276"/>
      </w:pPr>
      <w:r>
        <w:rPr>
          <w:rFonts w:ascii="Calibri" w:cs="Calibri" w:eastAsia="Calibri" w:hAnsi="Calibri"/>
          <w:sz w:val="21"/>
          <w:szCs w:val="21"/>
        </w:rPr>
        <w:t xml:space="preserve">Pricing module — rate plans, quotations</w:t>
      </w:r>
    </w:p>
    <w:p>
      <w:pPr>
        <w:pStyle w:val="ListParagraph"/>
        <w:numPr>
          <w:ilvl w:val="0"/>
          <w:numId w:val="2"/>
        </w:numPr>
        <w:spacing w:after="60" w:line="276"/>
      </w:pPr>
      <w:r>
        <w:rPr>
          <w:rFonts w:ascii="Calibri" w:cs="Calibri" w:eastAsia="Calibri" w:hAnsi="Calibri"/>
          <w:sz w:val="21"/>
          <w:szCs w:val="21"/>
        </w:rPr>
        <w:t xml:space="preserve">Finance module — payments, expenses, tax, invoicing</w:t>
      </w:r>
    </w:p>
    <w:p>
      <w:pPr>
        <w:pStyle w:val="ListParagraph"/>
        <w:numPr>
          <w:ilvl w:val="0"/>
          <w:numId w:val="2"/>
        </w:numPr>
        <w:spacing w:after="60" w:line="276"/>
      </w:pPr>
      <w:r>
        <w:rPr>
          <w:rFonts w:ascii="Calibri" w:cs="Calibri" w:eastAsia="Calibri" w:hAnsi="Calibri"/>
          <w:sz w:val="21"/>
          <w:szCs w:val="21"/>
        </w:rPr>
        <w:t xml:space="preserve">Maintenance module — work orders, preventive schedules, vendors</w:t>
      </w:r>
    </w:p>
    <w:p>
      <w:pPr>
        <w:pStyle w:val="ListParagraph"/>
        <w:numPr>
          <w:ilvl w:val="0"/>
          <w:numId w:val="2"/>
        </w:numPr>
        <w:spacing w:after="60" w:line="276"/>
      </w:pPr>
      <w:r>
        <w:rPr>
          <w:rFonts w:ascii="Calibri" w:cs="Calibri" w:eastAsia="Calibri" w:hAnsi="Calibri"/>
          <w:sz w:val="21"/>
          <w:szCs w:val="21"/>
        </w:rPr>
        <w:t xml:space="preserve">Housekeeping module</w:t>
      </w:r>
    </w:p>
    <w:p>
      <w:pPr>
        <w:pStyle w:val="ListParagraph"/>
        <w:numPr>
          <w:ilvl w:val="0"/>
          <w:numId w:val="2"/>
        </w:numPr>
        <w:spacing w:after="60" w:line="276"/>
      </w:pPr>
      <w:r>
        <w:rPr>
          <w:rFonts w:ascii="Calibri" w:cs="Calibri" w:eastAsia="Calibri" w:hAnsi="Calibri"/>
          <w:sz w:val="21"/>
          <w:szCs w:val="21"/>
        </w:rPr>
        <w:t xml:space="preserve">Reporting module</w:t>
      </w:r>
    </w:p>
    <w:p>
      <w:pPr>
        <w:pStyle w:val="ListParagraph"/>
        <w:numPr>
          <w:ilvl w:val="0"/>
          <w:numId w:val="2"/>
        </w:numPr>
        <w:spacing w:after="60" w:line="276"/>
      </w:pPr>
      <w:r>
        <w:rPr>
          <w:rFonts w:ascii="Calibri" w:cs="Calibri" w:eastAsia="Calibri" w:hAnsi="Calibri"/>
          <w:sz w:val="21"/>
          <w:szCs w:val="21"/>
        </w:rPr>
        <w:t xml:space="preserve">Notification service</w:t>
      </w:r>
    </w:p>
    <w:p>
      <w:pPr>
        <w:pStyle w:val="ListParagraph"/>
        <w:numPr>
          <w:ilvl w:val="0"/>
          <w:numId w:val="2"/>
        </w:numPr>
        <w:spacing w:after="60" w:line="276"/>
      </w:pPr>
      <w:r>
        <w:rPr>
          <w:rFonts w:ascii="Calibri" w:cs="Calibri" w:eastAsia="Calibri" w:hAnsi="Calibri"/>
          <w:sz w:val="21"/>
          <w:szCs w:val="21"/>
        </w:rPr>
        <w:t xml:space="preserve">Integration layer — channels, payment gateway, messaging</w:t>
      </w:r>
    </w:p>
    <w:p>
      <w:pPr>
        <w:pStyle w:val="Heading2"/>
        <w:spacing w:after="120" w:before="240"/>
      </w:pPr>
      <w:r>
        <w:rPr>
          <w:rFonts w:ascii="Calibri" w:cs="Calibri" w:eastAsia="Calibri" w:hAnsi="Calibri"/>
          <w:b/>
          <w:bCs/>
          <w:color w:val="1F4E79"/>
          <w:sz w:val="24"/>
          <w:szCs w:val="24"/>
        </w:rPr>
        <w:t xml:space="preserve">6.3 Integrations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200"/>
        <w:gridCol w:w="5226"/>
        <w:gridCol w:w="1600"/>
      </w:tblGrid>
      <w:tr>
        <w:trPr>
          <w:tblHeader/>
        </w:trPr>
        <w:tc>
          <w:tcPr>
            <w:tcW w:type="dxa" w:w="22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Integration</w:t>
            </w:r>
          </w:p>
        </w:tc>
        <w:tc>
          <w:tcPr>
            <w:tcW w:type="dxa" w:w="52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Purpose</w:t>
            </w:r>
          </w:p>
        </w:tc>
        <w:tc>
          <w:tcPr>
            <w:tcW w:type="dxa" w:w="1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Phase</w:t>
            </w:r>
          </w:p>
        </w:tc>
      </w:tr>
      <w:tr>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iCal import and export</w:t>
            </w:r>
          </w:p>
        </w:tc>
        <w:tc>
          <w:tcPr>
            <w:tcW w:type="dxa" w:w="5226"/>
            <w:tcMar>
              <w:top w:type="dxa" w:w="80"/>
              <w:left w:type="dxa" w:w="120"/>
              <w:bottom w:type="dxa" w:w="80"/>
              <w:right w:type="dxa" w:w="120"/>
            </w:tcMar>
          </w:tcPr>
          <w:p>
            <w:pPr>
              <w:spacing w:after="0" w:line="252"/>
            </w:pPr>
            <w:r>
              <w:rPr>
                <w:rFonts w:ascii="Calibri" w:cs="Calibri" w:eastAsia="Calibri" w:hAnsi="Calibri"/>
                <w:sz w:val="19"/>
                <w:szCs w:val="19"/>
              </w:rPr>
              <w:t xml:space="preserve">Two-way calendar sync with Airbnb, Booking.com and Vrbo. Simple, universally supported, but slow to propagate and carries no rate or guest data.</w:t>
            </w:r>
          </w:p>
        </w:tc>
        <w:tc>
          <w:tcPr>
            <w:tcW w:type="dxa" w:w="1600"/>
            <w:tcMar>
              <w:top w:type="dxa" w:w="80"/>
              <w:left w:type="dxa" w:w="120"/>
              <w:bottom w:type="dxa" w:w="80"/>
              <w:right w:type="dxa" w:w="120"/>
            </w:tcMar>
          </w:tcPr>
          <w:p>
            <w:pPr>
              <w:spacing w:after="0" w:line="252"/>
            </w:pPr>
            <w:r>
              <w:rPr>
                <w:rFonts w:ascii="Calibri" w:cs="Calibri" w:eastAsia="Calibri" w:hAnsi="Calibri"/>
                <w:sz w:val="19"/>
                <w:szCs w:val="19"/>
              </w:rPr>
              <w:t xml:space="preserve">1</w:t>
            </w:r>
          </w:p>
        </w:tc>
      </w:tr>
      <w:tr>
        <w:tc>
          <w:tcPr>
            <w:tcW w:type="dxa" w:w="2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Airbnb / Booking.com APIs</w:t>
            </w:r>
          </w:p>
        </w:tc>
        <w:tc>
          <w:tcPr>
            <w:tcW w:type="dxa" w:w="5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Full sync of rates, availability, bookings and guest details. Significantly more work and subject to partner approval.</w:t>
            </w:r>
          </w:p>
        </w:tc>
        <w:tc>
          <w:tcPr>
            <w:tcW w:type="dxa" w:w="1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3</w:t>
            </w:r>
          </w:p>
        </w:tc>
      </w:tr>
      <w:tr>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Payment gateway</w:t>
            </w:r>
          </w:p>
        </w:tc>
        <w:tc>
          <w:tcPr>
            <w:tcW w:type="dxa" w:w="5226"/>
            <w:tcMar>
              <w:top w:type="dxa" w:w="80"/>
              <w:left w:type="dxa" w:w="120"/>
              <w:bottom w:type="dxa" w:w="80"/>
              <w:right w:type="dxa" w:w="120"/>
            </w:tcMar>
          </w:tcPr>
          <w:p>
            <w:pPr>
              <w:spacing w:after="0" w:line="252"/>
            </w:pPr>
            <w:r>
              <w:rPr>
                <w:rFonts w:ascii="Calibri" w:cs="Calibri" w:eastAsia="Calibri" w:hAnsi="Calibri"/>
                <w:sz w:val="19"/>
                <w:szCs w:val="19"/>
              </w:rPr>
              <w:t xml:space="preserve">Card payments, deposit authorisation, refunds.</w:t>
            </w:r>
          </w:p>
        </w:tc>
        <w:tc>
          <w:tcPr>
            <w:tcW w:type="dxa" w:w="1600"/>
            <w:tcMar>
              <w:top w:type="dxa" w:w="80"/>
              <w:left w:type="dxa" w:w="120"/>
              <w:bottom w:type="dxa" w:w="80"/>
              <w:right w:type="dxa" w:w="120"/>
            </w:tcMar>
          </w:tcPr>
          <w:p>
            <w:pPr>
              <w:spacing w:after="0" w:line="252"/>
            </w:pPr>
            <w:r>
              <w:rPr>
                <w:rFonts w:ascii="Calibri" w:cs="Calibri" w:eastAsia="Calibri" w:hAnsi="Calibri"/>
                <w:sz w:val="19"/>
                <w:szCs w:val="19"/>
              </w:rPr>
              <w:t xml:space="preserve">2</w:t>
            </w:r>
          </w:p>
        </w:tc>
      </w:tr>
      <w:tr>
        <w:tc>
          <w:tcPr>
            <w:tcW w:type="dxa" w:w="2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WhatsApp Business API</w:t>
            </w:r>
          </w:p>
        </w:tc>
        <w:tc>
          <w:tcPr>
            <w:tcW w:type="dxa" w:w="5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Guest and staff messaging.</w:t>
            </w:r>
          </w:p>
        </w:tc>
        <w:tc>
          <w:tcPr>
            <w:tcW w:type="dxa" w:w="1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2</w:t>
            </w:r>
          </w:p>
        </w:tc>
      </w:tr>
      <w:tr>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Email provider</w:t>
            </w:r>
          </w:p>
        </w:tc>
        <w:tc>
          <w:tcPr>
            <w:tcW w:type="dxa" w:w="5226"/>
            <w:tcMar>
              <w:top w:type="dxa" w:w="80"/>
              <w:left w:type="dxa" w:w="120"/>
              <w:bottom w:type="dxa" w:w="80"/>
              <w:right w:type="dxa" w:w="120"/>
            </w:tcMar>
          </w:tcPr>
          <w:p>
            <w:pPr>
              <w:spacing w:after="0" w:line="252"/>
            </w:pPr>
            <w:r>
              <w:rPr>
                <w:rFonts w:ascii="Calibri" w:cs="Calibri" w:eastAsia="Calibri" w:hAnsi="Calibri"/>
                <w:sz w:val="19"/>
                <w:szCs w:val="19"/>
              </w:rPr>
              <w:t xml:space="preserve">Transactional email and documents.</w:t>
            </w:r>
          </w:p>
        </w:tc>
        <w:tc>
          <w:tcPr>
            <w:tcW w:type="dxa" w:w="1600"/>
            <w:tcMar>
              <w:top w:type="dxa" w:w="80"/>
              <w:left w:type="dxa" w:w="120"/>
              <w:bottom w:type="dxa" w:w="80"/>
              <w:right w:type="dxa" w:w="120"/>
            </w:tcMar>
          </w:tcPr>
          <w:p>
            <w:pPr>
              <w:spacing w:after="0" w:line="252"/>
            </w:pPr>
            <w:r>
              <w:rPr>
                <w:rFonts w:ascii="Calibri" w:cs="Calibri" w:eastAsia="Calibri" w:hAnsi="Calibri"/>
                <w:sz w:val="19"/>
                <w:szCs w:val="19"/>
              </w:rPr>
              <w:t xml:space="preserve">1</w:t>
            </w:r>
          </w:p>
        </w:tc>
      </w:tr>
      <w:tr>
        <w:tc>
          <w:tcPr>
            <w:tcW w:type="dxa" w:w="2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Accounting export</w:t>
            </w:r>
          </w:p>
        </w:tc>
        <w:tc>
          <w:tcPr>
            <w:tcW w:type="dxa" w:w="5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CSV or direct integration with the accounting package your accountant uses.</w:t>
            </w:r>
          </w:p>
        </w:tc>
        <w:tc>
          <w:tcPr>
            <w:tcW w:type="dxa" w:w="1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3</w:t>
            </w:r>
          </w:p>
        </w:tc>
      </w:tr>
      <w:tr>
        <w:tc>
          <w:tcPr>
            <w:tcW w:type="dxa" w:w="2200"/>
            <w:tcMar>
              <w:top w:type="dxa" w:w="80"/>
              <w:left w:type="dxa" w:w="120"/>
              <w:bottom w:type="dxa" w:w="80"/>
              <w:right w:type="dxa" w:w="120"/>
            </w:tcMar>
          </w:tcPr>
          <w:p>
            <w:pPr>
              <w:spacing w:after="0" w:line="252"/>
            </w:pPr>
            <w:r>
              <w:rPr>
                <w:rFonts w:ascii="Calibri" w:cs="Calibri" w:eastAsia="Calibri" w:hAnsi="Calibri"/>
                <w:sz w:val="19"/>
                <w:szCs w:val="19"/>
              </w:rPr>
              <w:t xml:space="preserve">DET Holiday Homes portal</w:t>
            </w:r>
          </w:p>
        </w:tc>
        <w:tc>
          <w:tcPr>
            <w:tcW w:type="dxa" w:w="5226"/>
            <w:tcMar>
              <w:top w:type="dxa" w:w="80"/>
              <w:left w:type="dxa" w:w="120"/>
              <w:bottom w:type="dxa" w:w="80"/>
              <w:right w:type="dxa" w:w="120"/>
            </w:tcMar>
          </w:tcPr>
          <w:p>
            <w:pPr>
              <w:spacing w:after="0" w:line="252"/>
            </w:pPr>
            <w:r>
              <w:rPr>
                <w:rFonts w:ascii="Calibri" w:cs="Calibri" w:eastAsia="Calibri" w:hAnsi="Calibri"/>
                <w:sz w:val="19"/>
                <w:szCs w:val="19"/>
              </w:rPr>
              <w:t xml:space="preserve">Currently a manual portal submission. Automate only if an API becomes available; otherwise the system prepares the data and tracks completion.</w:t>
            </w:r>
          </w:p>
        </w:tc>
        <w:tc>
          <w:tcPr>
            <w:tcW w:type="dxa" w:w="1600"/>
            <w:tcMar>
              <w:top w:type="dxa" w:w="80"/>
              <w:left w:type="dxa" w:w="120"/>
              <w:bottom w:type="dxa" w:w="80"/>
              <w:right w:type="dxa" w:w="120"/>
            </w:tcMar>
          </w:tcPr>
          <w:p>
            <w:pPr>
              <w:spacing w:after="0" w:line="252"/>
            </w:pPr>
            <w:r>
              <w:rPr>
                <w:rFonts w:ascii="Calibri" w:cs="Calibri" w:eastAsia="Calibri" w:hAnsi="Calibri"/>
                <w:sz w:val="19"/>
                <w:szCs w:val="19"/>
              </w:rPr>
              <w:t xml:space="preserve">Monitor</w:t>
            </w:r>
          </w:p>
        </w:tc>
      </w:tr>
      <w:tr>
        <w:tc>
          <w:tcPr>
            <w:tcW w:type="dxa" w:w="22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Smart locks</w:t>
            </w:r>
          </w:p>
        </w:tc>
        <w:tc>
          <w:tcPr>
            <w:tcW w:type="dxa" w:w="52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Automatic per-booking access codes.</w:t>
            </w:r>
          </w:p>
        </w:tc>
        <w:tc>
          <w:tcPr>
            <w:tcW w:type="dxa" w:w="1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4</w:t>
            </w:r>
          </w:p>
        </w:tc>
      </w:tr>
    </w:tbl>
    <w:tbl>
      <w:tblPr>
        <w:tblW w:type="dxa" w:w="9026"/>
        <w:tblBorders>
          <w:top w:val="single" w:color="1F4E79" w:sz="4"/>
          <w:left w:val="single" w:color="1F4E79" w:sz="16"/>
          <w:bottom w:val="single" w:color="1F4E79" w:sz="4"/>
          <w:right w:val="single" w:color="1F4E79" w:sz="4"/>
          <w:insideH w:val="none"/>
          <w:insideV w:val="none"/>
        </w:tblBorders>
      </w:tblPr>
      <w:tblGrid>
        <w:gridCol w:w="9026"/>
      </w:tblGrid>
      <w:tr>
        <w:tc>
          <w:tcPr>
            <w:tcW w:type="dxa" w:w="9026"/>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A realistic note on the DET portal</w:t>
            </w:r>
          </w:p>
          <w:p>
            <w:pPr>
              <w:spacing w:after="0"/>
            </w:pPr>
            <w:r>
              <w:rPr>
                <w:rFonts w:ascii="Calibri" w:cs="Calibri" w:eastAsia="Calibri" w:hAnsi="Calibri"/>
                <w:sz w:val="20"/>
                <w:szCs w:val="20"/>
              </w:rPr>
              <w:t xml:space="preserve">Assume guest registration remains a manual upload to the DET portal. The system's job is therefore to make that manual step fast and impossible to forget: assemble the guest documents, present them in one screen, count down the deadline, and record the confirmation reference once submitted. Do not design as though this can be fully automated.</w:t>
            </w:r>
          </w:p>
        </w:tc>
      </w:tr>
    </w:tbl>
    <w:p>
      <w:pPr>
        <w:pStyle w:val="Heading2"/>
        <w:spacing w:after="120" w:before="240"/>
      </w:pPr>
      <w:r>
        <w:rPr>
          <w:rFonts w:ascii="Calibri" w:cs="Calibri" w:eastAsia="Calibri" w:hAnsi="Calibri"/>
          <w:b/>
          <w:bCs/>
          <w:color w:val="1F4E79"/>
          <w:sz w:val="24"/>
          <w:szCs w:val="24"/>
        </w:rPr>
        <w:t xml:space="preserve">6.4 Security and data protection</w:t>
      </w:r>
    </w:p>
    <w:p>
      <w:pPr>
        <w:pStyle w:val="ListParagraph"/>
        <w:numPr>
          <w:ilvl w:val="0"/>
          <w:numId w:val="2"/>
        </w:numPr>
        <w:spacing w:after="60" w:line="276"/>
      </w:pPr>
      <w:r>
        <w:rPr>
          <w:rFonts w:ascii="Calibri" w:cs="Calibri" w:eastAsia="Calibri" w:hAnsi="Calibri"/>
          <w:sz w:val="21"/>
          <w:szCs w:val="21"/>
        </w:rPr>
        <w:t xml:space="preserve">Encryption in transit and at rest across the whole system</w:t>
      </w:r>
    </w:p>
    <w:p>
      <w:pPr>
        <w:pStyle w:val="ListParagraph"/>
        <w:numPr>
          <w:ilvl w:val="0"/>
          <w:numId w:val="2"/>
        </w:numPr>
        <w:spacing w:after="60" w:line="276"/>
      </w:pPr>
      <w:r>
        <w:rPr>
          <w:rFonts w:ascii="Calibri" w:cs="Calibri" w:eastAsia="Calibri" w:hAnsi="Calibri"/>
          <w:sz w:val="21"/>
          <w:szCs w:val="21"/>
        </w:rPr>
        <w:t xml:space="preserve">Identity documents held in a segregated store, access-controlled and never served from a public URL</w:t>
      </w:r>
    </w:p>
    <w:p>
      <w:pPr>
        <w:pStyle w:val="ListParagraph"/>
        <w:numPr>
          <w:ilvl w:val="0"/>
          <w:numId w:val="2"/>
        </w:numPr>
        <w:spacing w:after="60" w:line="276"/>
      </w:pPr>
      <w:r>
        <w:rPr>
          <w:rFonts w:ascii="Calibri" w:cs="Calibri" w:eastAsia="Calibri" w:hAnsi="Calibri"/>
          <w:sz w:val="21"/>
          <w:szCs w:val="21"/>
        </w:rPr>
        <w:t xml:space="preserve">Signed, short-lived URLs for any document access</w:t>
      </w:r>
    </w:p>
    <w:p>
      <w:pPr>
        <w:pStyle w:val="ListParagraph"/>
        <w:numPr>
          <w:ilvl w:val="0"/>
          <w:numId w:val="2"/>
        </w:numPr>
        <w:spacing w:after="60" w:line="276"/>
      </w:pPr>
      <w:r>
        <w:rPr>
          <w:rFonts w:ascii="Calibri" w:cs="Calibri" w:eastAsia="Calibri" w:hAnsi="Calibri"/>
          <w:sz w:val="21"/>
          <w:szCs w:val="21"/>
        </w:rPr>
        <w:t xml:space="preserve">Role-based access: owner, manager, finance, housekeeping, maintenance, read-only</w:t>
      </w:r>
    </w:p>
    <w:p>
      <w:pPr>
        <w:pStyle w:val="ListParagraph"/>
        <w:numPr>
          <w:ilvl w:val="0"/>
          <w:numId w:val="2"/>
        </w:numPr>
        <w:spacing w:after="60" w:line="276"/>
      </w:pPr>
      <w:r>
        <w:rPr>
          <w:rFonts w:ascii="Calibri" w:cs="Calibri" w:eastAsia="Calibri" w:hAnsi="Calibri"/>
          <w:sz w:val="21"/>
          <w:szCs w:val="21"/>
        </w:rPr>
        <w:t xml:space="preserve">Cleaners and maintenance staff see schedules and property access details, never guest identity documents or financial records</w:t>
      </w:r>
    </w:p>
    <w:p>
      <w:pPr>
        <w:pStyle w:val="ListParagraph"/>
        <w:numPr>
          <w:ilvl w:val="0"/>
          <w:numId w:val="2"/>
        </w:numPr>
        <w:spacing w:after="60" w:line="276"/>
      </w:pPr>
      <w:r>
        <w:rPr>
          <w:rFonts w:ascii="Calibri" w:cs="Calibri" w:eastAsia="Calibri" w:hAnsi="Calibri"/>
          <w:sz w:val="21"/>
          <w:szCs w:val="21"/>
        </w:rPr>
        <w:t xml:space="preserve">Multi-factor authentication for all administrative accounts</w:t>
      </w:r>
    </w:p>
    <w:p>
      <w:pPr>
        <w:pStyle w:val="ListParagraph"/>
        <w:numPr>
          <w:ilvl w:val="0"/>
          <w:numId w:val="2"/>
        </w:numPr>
        <w:spacing w:after="60" w:line="276"/>
      </w:pPr>
      <w:r>
        <w:rPr>
          <w:rFonts w:ascii="Calibri" w:cs="Calibri" w:eastAsia="Calibri" w:hAnsi="Calibri"/>
          <w:sz w:val="21"/>
          <w:szCs w:val="21"/>
        </w:rPr>
        <w:t xml:space="preserve">Every access to an identity document written to the audit log</w:t>
      </w:r>
    </w:p>
    <w:p>
      <w:pPr>
        <w:pStyle w:val="ListParagraph"/>
        <w:numPr>
          <w:ilvl w:val="0"/>
          <w:numId w:val="2"/>
        </w:numPr>
        <w:spacing w:after="60" w:line="276"/>
      </w:pPr>
      <w:r>
        <w:rPr>
          <w:rFonts w:ascii="Calibri" w:cs="Calibri" w:eastAsia="Calibri" w:hAnsi="Calibri"/>
          <w:sz w:val="21"/>
          <w:szCs w:val="21"/>
        </w:rPr>
        <w:t xml:space="preserve">Defined retention period for identity documents, with automatic deletion once the legal retention obligation lapses</w:t>
      </w:r>
    </w:p>
    <w:p>
      <w:pPr>
        <w:pStyle w:val="ListParagraph"/>
        <w:numPr>
          <w:ilvl w:val="0"/>
          <w:numId w:val="2"/>
        </w:numPr>
        <w:spacing w:after="60" w:line="276"/>
      </w:pPr>
      <w:r>
        <w:rPr>
          <w:rFonts w:ascii="Calibri" w:cs="Calibri" w:eastAsia="Calibri" w:hAnsi="Calibri"/>
          <w:sz w:val="21"/>
          <w:szCs w:val="21"/>
        </w:rPr>
        <w:t xml:space="preserve">Explicit consent captured at booking, with the privacy notice version recorded</w:t>
      </w:r>
    </w:p>
    <w:p>
      <w:pPr>
        <w:pStyle w:val="ListParagraph"/>
        <w:numPr>
          <w:ilvl w:val="0"/>
          <w:numId w:val="2"/>
        </w:numPr>
        <w:spacing w:after="60" w:line="276"/>
      </w:pPr>
      <w:r>
        <w:rPr>
          <w:rFonts w:ascii="Calibri" w:cs="Calibri" w:eastAsia="Calibri" w:hAnsi="Calibri"/>
          <w:sz w:val="21"/>
          <w:szCs w:val="21"/>
        </w:rPr>
        <w:t xml:space="preserve">Ability to export or delete a guest's data on request, subject to retention obligations</w:t>
      </w:r>
    </w:p>
    <w:p>
      <w:pPr>
        <w:pStyle w:val="ListParagraph"/>
        <w:numPr>
          <w:ilvl w:val="0"/>
          <w:numId w:val="2"/>
        </w:numPr>
        <w:spacing w:after="60" w:line="276"/>
      </w:pPr>
      <w:r>
        <w:rPr>
          <w:rFonts w:ascii="Calibri" w:cs="Calibri" w:eastAsia="Calibri" w:hAnsi="Calibri"/>
          <w:sz w:val="21"/>
          <w:szCs w:val="21"/>
        </w:rPr>
        <w:t xml:space="preserve">Automated daily backups with periodic restore testing — an untested backup is not a backup</w:t>
      </w:r>
    </w:p>
    <w:p>
      <w:pPr>
        <w:pStyle w:val="Heading2"/>
        <w:spacing w:after="120" w:before="240"/>
      </w:pPr>
      <w:r>
        <w:rPr>
          <w:rFonts w:ascii="Calibri" w:cs="Calibri" w:eastAsia="Calibri" w:hAnsi="Calibri"/>
          <w:b/>
          <w:bCs/>
          <w:color w:val="1F4E79"/>
          <w:sz w:val="24"/>
          <w:szCs w:val="24"/>
        </w:rPr>
        <w:t xml:space="preserve">6.5 Non-functional requirements</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426"/>
      </w:tblGrid>
      <w:tr>
        <w:trPr>
          <w:tblHeader/>
        </w:trPr>
        <w:tc>
          <w:tcPr>
            <w:tcW w:type="dxa" w:w="2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Requirement</w:t>
            </w:r>
          </w:p>
        </w:tc>
        <w:tc>
          <w:tcPr>
            <w:tcW w:type="dxa" w:w="64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Target</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Availability</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99.5% or better; booking and calendar are the critical paths</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Page load</w:t>
            </w:r>
          </w:p>
        </w:tc>
        <w:tc>
          <w:tcPr>
            <w:tcW w:type="dxa" w:w="64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Under 2 seconds on the calendar view with a full portfolio loaded</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Concurrent users</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Up to 10 — small team, no scale pressure</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Data volume</w:t>
            </w:r>
          </w:p>
        </w:tc>
        <w:tc>
          <w:tcPr>
            <w:tcW w:type="dxa" w:w="64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20 properties, roughly 1,500 bookings per year, several thousand documents</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Devices</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Desktop for management; fully responsive for field staff on phones</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Browsers</w:t>
            </w:r>
          </w:p>
        </w:tc>
        <w:tc>
          <w:tcPr>
            <w:tcW w:type="dxa" w:w="64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Current versions of Chrome, Safari, Edge and Firefox</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Language</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English at launch; design for Arabic and right-to-left layout later</w:t>
            </w:r>
          </w:p>
        </w:tc>
      </w:tr>
      <w:tr>
        <w:tc>
          <w:tcPr>
            <w:tcW w:type="dxa" w:w="2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Backup</w:t>
            </w:r>
          </w:p>
        </w:tc>
        <w:tc>
          <w:tcPr>
            <w:tcW w:type="dxa" w:w="64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Daily automated, 30-day retention, tested restore</w:t>
            </w:r>
          </w:p>
        </w:tc>
      </w:tr>
      <w:tr>
        <w:tc>
          <w:tcPr>
            <w:tcW w:type="dxa" w:w="2600"/>
            <w:tcMar>
              <w:top w:type="dxa" w:w="80"/>
              <w:left w:type="dxa" w:w="120"/>
              <w:bottom w:type="dxa" w:w="80"/>
              <w:right w:type="dxa" w:w="120"/>
            </w:tcMar>
          </w:tcPr>
          <w:p>
            <w:pPr>
              <w:spacing w:after="0" w:line="252"/>
            </w:pPr>
            <w:r>
              <w:rPr>
                <w:rFonts w:ascii="Calibri" w:cs="Calibri" w:eastAsia="Calibri" w:hAnsi="Calibri"/>
                <w:sz w:val="19"/>
                <w:szCs w:val="19"/>
              </w:rPr>
              <w:t xml:space="preserve">Audit retention</w:t>
            </w:r>
          </w:p>
        </w:tc>
        <w:tc>
          <w:tcPr>
            <w:tcW w:type="dxa" w:w="6426"/>
            <w:tcMar>
              <w:top w:type="dxa" w:w="80"/>
              <w:left w:type="dxa" w:w="120"/>
              <w:bottom w:type="dxa" w:w="80"/>
              <w:right w:type="dxa" w:w="120"/>
            </w:tcMar>
          </w:tcPr>
          <w:p>
            <w:pPr>
              <w:spacing w:after="0" w:line="252"/>
            </w:pPr>
            <w:r>
              <w:rPr>
                <w:rFonts w:ascii="Calibri" w:cs="Calibri" w:eastAsia="Calibri" w:hAnsi="Calibri"/>
                <w:sz w:val="19"/>
                <w:szCs w:val="19"/>
              </w:rPr>
              <w:t xml:space="preserve">Minimum 5 years, aligned to tax record-keeping obligations</w:t>
            </w:r>
          </w:p>
        </w:tc>
      </w:tr>
    </w:tbl>
    <w:p>
      <w:r>
        <w:br w:type="page"/>
      </w:r>
    </w:p>
    <w:p>
      <w:pPr>
        <w:pStyle w:val="Heading1"/>
        <w:spacing w:after="160" w:before="320"/>
      </w:pPr>
      <w:r>
        <w:rPr>
          <w:rFonts w:ascii="Calibri" w:cs="Calibri" w:eastAsia="Calibri" w:hAnsi="Calibri"/>
          <w:b/>
          <w:bCs/>
          <w:color w:val="1F4E79"/>
          <w:sz w:val="30"/>
          <w:szCs w:val="30"/>
        </w:rPr>
        <w:t xml:space="preserve">7. Delivery Roadmap</w:t>
      </w:r>
    </w:p>
    <w:p>
      <w:pPr>
        <w:spacing w:after="120" w:line="276"/>
      </w:pPr>
      <w:r>
        <w:rPr>
          <w:rFonts w:ascii="Calibri" w:cs="Calibri" w:eastAsia="Calibri" w:hAnsi="Calibri"/>
          <w:sz w:val="21"/>
          <w:szCs w:val="21"/>
        </w:rPr>
        <w:t xml:space="preserve">Sequenced so that each phase is independently useful. Estimates assume one experienced full-stack developer; treat them as indicative rather than committed.</w:t>
      </w:r>
    </w:p>
    <w:p>
      <w:pPr>
        <w:pStyle w:val="Heading2"/>
        <w:spacing w:after="120" w:before="240"/>
      </w:pPr>
      <w:r>
        <w:rPr>
          <w:rFonts w:ascii="Calibri" w:cs="Calibri" w:eastAsia="Calibri" w:hAnsi="Calibri"/>
          <w:b/>
          <w:bCs/>
          <w:color w:val="1F4E79"/>
          <w:sz w:val="24"/>
          <w:szCs w:val="24"/>
        </w:rPr>
        <w:t xml:space="preserve">Phase 1 — Foundation</w:t>
      </w:r>
    </w:p>
    <w:p>
      <w:pPr>
        <w:spacing w:after="120" w:line="276"/>
      </w:pPr>
      <w:r>
        <w:rPr>
          <w:rFonts w:ascii="Calibri" w:cs="Calibri" w:eastAsia="Calibri" w:hAnsi="Calibri"/>
          <w:i/>
          <w:iCs/>
          <w:sz w:val="21"/>
          <w:szCs w:val="21"/>
        </w:rPr>
        <w:t xml:space="preserve">Indicative duration: 4 to 6 weeks</w:t>
      </w:r>
    </w:p>
    <w:p>
      <w:pPr>
        <w:pStyle w:val="ListParagraph"/>
        <w:numPr>
          <w:ilvl w:val="0"/>
          <w:numId w:val="2"/>
        </w:numPr>
        <w:spacing w:after="60" w:line="276"/>
      </w:pPr>
      <w:r>
        <w:rPr>
          <w:rFonts w:ascii="Calibri" w:cs="Calibri" w:eastAsia="Calibri" w:hAnsi="Calibri"/>
          <w:sz w:val="21"/>
          <w:szCs w:val="21"/>
        </w:rPr>
        <w:t xml:space="preserve">User accounts, roles and authentication</w:t>
      </w:r>
    </w:p>
    <w:p>
      <w:pPr>
        <w:pStyle w:val="ListParagraph"/>
        <w:numPr>
          <w:ilvl w:val="0"/>
          <w:numId w:val="2"/>
        </w:numPr>
        <w:spacing w:after="60" w:line="276"/>
      </w:pPr>
      <w:r>
        <w:rPr>
          <w:rFonts w:ascii="Calibri" w:cs="Calibri" w:eastAsia="Calibri" w:hAnsi="Calibri"/>
          <w:sz w:val="21"/>
          <w:szCs w:val="21"/>
        </w:rPr>
        <w:t xml:space="preserve">Property records with photos and utility accounts</w:t>
      </w:r>
    </w:p>
    <w:p>
      <w:pPr>
        <w:pStyle w:val="ListParagraph"/>
        <w:numPr>
          <w:ilvl w:val="0"/>
          <w:numId w:val="2"/>
        </w:numPr>
        <w:spacing w:after="60" w:line="276"/>
      </w:pPr>
      <w:r>
        <w:rPr>
          <w:rFonts w:ascii="Calibri" w:cs="Calibri" w:eastAsia="Calibri" w:hAnsi="Calibri"/>
          <w:sz w:val="21"/>
          <w:szCs w:val="21"/>
        </w:rPr>
        <w:t xml:space="preserve">Owner records</w:t>
      </w:r>
    </w:p>
    <w:p>
      <w:pPr>
        <w:pStyle w:val="ListParagraph"/>
        <w:numPr>
          <w:ilvl w:val="0"/>
          <w:numId w:val="2"/>
        </w:numPr>
        <w:spacing w:after="60" w:line="276"/>
      </w:pPr>
      <w:r>
        <w:rPr>
          <w:rFonts w:ascii="Calibri" w:cs="Calibri" w:eastAsia="Calibri" w:hAnsi="Calibri"/>
          <w:sz w:val="21"/>
          <w:szCs w:val="21"/>
        </w:rPr>
        <w:t xml:space="preserve">Document vault with expiry tracking and the compliance dashboard</w:t>
      </w:r>
    </w:p>
    <w:p>
      <w:pPr>
        <w:pStyle w:val="ListParagraph"/>
        <w:numPr>
          <w:ilvl w:val="0"/>
          <w:numId w:val="2"/>
        </w:numPr>
        <w:spacing w:after="60" w:line="276"/>
      </w:pPr>
      <w:r>
        <w:rPr>
          <w:rFonts w:ascii="Calibri" w:cs="Calibri" w:eastAsia="Calibri" w:hAnsi="Calibri"/>
          <w:sz w:val="21"/>
          <w:szCs w:val="21"/>
        </w:rPr>
        <w:t xml:space="preserve">Guest CRM with identity document capture</w:t>
      </w:r>
    </w:p>
    <w:p>
      <w:pPr>
        <w:pStyle w:val="ListParagraph"/>
        <w:numPr>
          <w:ilvl w:val="0"/>
          <w:numId w:val="2"/>
        </w:numPr>
        <w:spacing w:after="60" w:line="276"/>
      </w:pPr>
      <w:r>
        <w:rPr>
          <w:rFonts w:ascii="Calibri" w:cs="Calibri" w:eastAsia="Calibri" w:hAnsi="Calibri"/>
          <w:sz w:val="21"/>
          <w:szCs w:val="21"/>
        </w:rPr>
        <w:t xml:space="preserve">Manual booking creation and the multi-property calendar</w:t>
      </w:r>
    </w:p>
    <w:p>
      <w:pPr>
        <w:pStyle w:val="ListParagraph"/>
        <w:numPr>
          <w:ilvl w:val="0"/>
          <w:numId w:val="2"/>
        </w:numPr>
        <w:spacing w:after="60" w:line="276"/>
      </w:pPr>
      <w:r>
        <w:rPr>
          <w:rFonts w:ascii="Calibri" w:cs="Calibri" w:eastAsia="Calibri" w:hAnsi="Calibri"/>
          <w:sz w:val="21"/>
          <w:szCs w:val="21"/>
        </w:rPr>
        <w:t xml:space="preserve">Double-booking prevention</w:t>
      </w:r>
    </w:p>
    <w:p>
      <w:pPr>
        <w:pStyle w:val="ListParagraph"/>
        <w:numPr>
          <w:ilvl w:val="0"/>
          <w:numId w:val="2"/>
        </w:numPr>
        <w:spacing w:after="60" w:line="276"/>
      </w:pPr>
      <w:r>
        <w:rPr>
          <w:rFonts w:ascii="Calibri" w:cs="Calibri" w:eastAsia="Calibri" w:hAnsi="Calibri"/>
          <w:sz w:val="21"/>
          <w:szCs w:val="21"/>
        </w:rPr>
        <w:t xml:space="preserve">iCal import and export</w:t>
      </w:r>
    </w:p>
    <w:p>
      <w:pPr>
        <w:spacing w:after="120" w:line="276"/>
      </w:pPr>
      <w:r>
        <w:rPr>
          <w:rFonts w:ascii="Calibri" w:cs="Calibri" w:eastAsia="Calibri" w:hAnsi="Calibri"/>
          <w:b/>
          <w:bCs/>
          <w:sz w:val="21"/>
          <w:szCs w:val="21"/>
        </w:rPr>
        <w:t xml:space="preserve">Outcome: </w:t>
      </w:r>
      <w:r>
        <w:rPr>
          <w:rFonts w:ascii="Calibri" w:cs="Calibri" w:eastAsia="Calibri" w:hAnsi="Calibri"/>
          <w:sz w:val="21"/>
          <w:szCs w:val="21"/>
        </w:rPr>
        <w:t xml:space="preserve">replaces spreadsheets. You can see every property, every document deadline and every booking in one place.</w:t>
      </w:r>
    </w:p>
    <w:p>
      <w:pPr>
        <w:pStyle w:val="Heading2"/>
        <w:spacing w:after="120" w:before="240"/>
      </w:pPr>
      <w:r>
        <w:rPr>
          <w:rFonts w:ascii="Calibri" w:cs="Calibri" w:eastAsia="Calibri" w:hAnsi="Calibri"/>
          <w:b/>
          <w:bCs/>
          <w:color w:val="1F4E79"/>
          <w:sz w:val="24"/>
          <w:szCs w:val="24"/>
        </w:rPr>
        <w:t xml:space="preserve">Phase 2 — Money and compliance</w:t>
      </w:r>
    </w:p>
    <w:p>
      <w:pPr>
        <w:spacing w:after="120" w:line="276"/>
      </w:pPr>
      <w:r>
        <w:rPr>
          <w:rFonts w:ascii="Calibri" w:cs="Calibri" w:eastAsia="Calibri" w:hAnsi="Calibri"/>
          <w:i/>
          <w:iCs/>
          <w:sz w:val="21"/>
          <w:szCs w:val="21"/>
        </w:rPr>
        <w:t xml:space="preserve">Indicative duration: 4 to 6 weeks</w:t>
      </w:r>
    </w:p>
    <w:p>
      <w:pPr>
        <w:pStyle w:val="ListParagraph"/>
        <w:numPr>
          <w:ilvl w:val="0"/>
          <w:numId w:val="2"/>
        </w:numPr>
        <w:spacing w:after="60" w:line="276"/>
      </w:pPr>
      <w:r>
        <w:rPr>
          <w:rFonts w:ascii="Calibri" w:cs="Calibri" w:eastAsia="Calibri" w:hAnsi="Calibri"/>
          <w:sz w:val="21"/>
          <w:szCs w:val="21"/>
        </w:rPr>
        <w:t xml:space="preserve">Pricing engine with seasonal rate calendar</w:t>
      </w:r>
    </w:p>
    <w:p>
      <w:pPr>
        <w:pStyle w:val="ListParagraph"/>
        <w:numPr>
          <w:ilvl w:val="0"/>
          <w:numId w:val="2"/>
        </w:numPr>
        <w:spacing w:after="60" w:line="276"/>
      </w:pPr>
      <w:r>
        <w:rPr>
          <w:rFonts w:ascii="Calibri" w:cs="Calibri" w:eastAsia="Calibri" w:hAnsi="Calibri"/>
          <w:sz w:val="21"/>
          <w:szCs w:val="21"/>
        </w:rPr>
        <w:t xml:space="preserve">Automatic quote and price breakdown</w:t>
      </w:r>
    </w:p>
    <w:p>
      <w:pPr>
        <w:pStyle w:val="ListParagraph"/>
        <w:numPr>
          <w:ilvl w:val="0"/>
          <w:numId w:val="2"/>
        </w:numPr>
        <w:spacing w:after="60" w:line="276"/>
      </w:pPr>
      <w:r>
        <w:rPr>
          <w:rFonts w:ascii="Calibri" w:cs="Calibri" w:eastAsia="Calibri" w:hAnsi="Calibri"/>
          <w:sz w:val="21"/>
          <w:szCs w:val="21"/>
        </w:rPr>
        <w:t xml:space="preserve">Payment recording, deposits and balances</w:t>
      </w:r>
    </w:p>
    <w:p>
      <w:pPr>
        <w:pStyle w:val="ListParagraph"/>
        <w:numPr>
          <w:ilvl w:val="0"/>
          <w:numId w:val="2"/>
        </w:numPr>
        <w:spacing w:after="60" w:line="276"/>
      </w:pPr>
      <w:r>
        <w:rPr>
          <w:rFonts w:ascii="Calibri" w:cs="Calibri" w:eastAsia="Calibri" w:hAnsi="Calibri"/>
          <w:sz w:val="21"/>
          <w:szCs w:val="21"/>
        </w:rPr>
        <w:t xml:space="preserve">Payment gateway integration</w:t>
      </w:r>
    </w:p>
    <w:p>
      <w:pPr>
        <w:pStyle w:val="ListParagraph"/>
        <w:numPr>
          <w:ilvl w:val="0"/>
          <w:numId w:val="2"/>
        </w:numPr>
        <w:spacing w:after="60" w:line="276"/>
      </w:pPr>
      <w:r>
        <w:rPr>
          <w:rFonts w:ascii="Calibri" w:cs="Calibri" w:eastAsia="Calibri" w:hAnsi="Calibri"/>
          <w:sz w:val="21"/>
          <w:szCs w:val="21"/>
        </w:rPr>
        <w:t xml:space="preserve">Security deposit lifecycle</w:t>
      </w:r>
    </w:p>
    <w:p>
      <w:pPr>
        <w:pStyle w:val="ListParagraph"/>
        <w:numPr>
          <w:ilvl w:val="0"/>
          <w:numId w:val="2"/>
        </w:numPr>
        <w:spacing w:after="60" w:line="276"/>
      </w:pPr>
      <w:r>
        <w:rPr>
          <w:rFonts w:ascii="Calibri" w:cs="Calibri" w:eastAsia="Calibri" w:hAnsi="Calibri"/>
          <w:sz w:val="21"/>
          <w:szCs w:val="21"/>
        </w:rPr>
        <w:t xml:space="preserve">Tourism Dirham accrual and the monthly filing report</w:t>
      </w:r>
    </w:p>
    <w:p>
      <w:pPr>
        <w:pStyle w:val="ListParagraph"/>
        <w:numPr>
          <w:ilvl w:val="0"/>
          <w:numId w:val="2"/>
        </w:numPr>
        <w:spacing w:after="60" w:line="276"/>
      </w:pPr>
      <w:r>
        <w:rPr>
          <w:rFonts w:ascii="Calibri" w:cs="Calibri" w:eastAsia="Calibri" w:hAnsi="Calibri"/>
          <w:sz w:val="21"/>
          <w:szCs w:val="21"/>
        </w:rPr>
        <w:t xml:space="preserve">VAT calculation, tax invoices and threshold monitoring</w:t>
      </w:r>
    </w:p>
    <w:p>
      <w:pPr>
        <w:pStyle w:val="ListParagraph"/>
        <w:numPr>
          <w:ilvl w:val="0"/>
          <w:numId w:val="2"/>
        </w:numPr>
        <w:spacing w:after="60" w:line="276"/>
      </w:pPr>
      <w:r>
        <w:rPr>
          <w:rFonts w:ascii="Calibri" w:cs="Calibri" w:eastAsia="Calibri" w:hAnsi="Calibri"/>
          <w:sz w:val="21"/>
          <w:szCs w:val="21"/>
        </w:rPr>
        <w:t xml:space="preserve">DET guest registration task queue with deadline countdown</w:t>
      </w:r>
    </w:p>
    <w:p>
      <w:pPr>
        <w:pStyle w:val="ListParagraph"/>
        <w:numPr>
          <w:ilvl w:val="0"/>
          <w:numId w:val="2"/>
        </w:numPr>
        <w:spacing w:after="60" w:line="276"/>
      </w:pPr>
      <w:r>
        <w:rPr>
          <w:rFonts w:ascii="Calibri" w:cs="Calibri" w:eastAsia="Calibri" w:hAnsi="Calibri"/>
          <w:sz w:val="21"/>
          <w:szCs w:val="21"/>
        </w:rPr>
        <w:t xml:space="preserve">Expense tracking per property</w:t>
      </w:r>
    </w:p>
    <w:p>
      <w:pPr>
        <w:pStyle w:val="ListParagraph"/>
        <w:numPr>
          <w:ilvl w:val="0"/>
          <w:numId w:val="2"/>
        </w:numPr>
        <w:spacing w:after="60" w:line="276"/>
      </w:pPr>
      <w:r>
        <w:rPr>
          <w:rFonts w:ascii="Calibri" w:cs="Calibri" w:eastAsia="Calibri" w:hAnsi="Calibri"/>
          <w:sz w:val="21"/>
          <w:szCs w:val="21"/>
        </w:rPr>
        <w:t xml:space="preserve">Notification service across email and WhatsApp</w:t>
      </w:r>
    </w:p>
    <w:p>
      <w:pPr>
        <w:spacing w:after="120" w:line="276"/>
      </w:pPr>
      <w:r>
        <w:rPr>
          <w:rFonts w:ascii="Calibri" w:cs="Calibri" w:eastAsia="Calibri" w:hAnsi="Calibri"/>
          <w:b/>
          <w:bCs/>
          <w:sz w:val="21"/>
          <w:szCs w:val="21"/>
        </w:rPr>
        <w:t xml:space="preserve">Outcome: </w:t>
      </w:r>
      <w:r>
        <w:rPr>
          <w:rFonts w:ascii="Calibri" w:cs="Calibri" w:eastAsia="Calibri" w:hAnsi="Calibri"/>
          <w:sz w:val="21"/>
          <w:szCs w:val="21"/>
        </w:rPr>
        <w:t xml:space="preserve">the business becomes financially legible and the compliance exposure identified in section 2.2 is closed.</w:t>
      </w:r>
    </w:p>
    <w:p>
      <w:pPr>
        <w:pStyle w:val="Heading2"/>
        <w:spacing w:after="120" w:before="240"/>
      </w:pPr>
      <w:r>
        <w:rPr>
          <w:rFonts w:ascii="Calibri" w:cs="Calibri" w:eastAsia="Calibri" w:hAnsi="Calibri"/>
          <w:b/>
          <w:bCs/>
          <w:color w:val="1F4E79"/>
          <w:sz w:val="24"/>
          <w:szCs w:val="24"/>
        </w:rPr>
        <w:t xml:space="preserve">Phase 3 — Operations</w:t>
      </w:r>
    </w:p>
    <w:p>
      <w:pPr>
        <w:spacing w:after="120" w:line="276"/>
      </w:pPr>
      <w:r>
        <w:rPr>
          <w:rFonts w:ascii="Calibri" w:cs="Calibri" w:eastAsia="Calibri" w:hAnsi="Calibri"/>
          <w:i/>
          <w:iCs/>
          <w:sz w:val="21"/>
          <w:szCs w:val="21"/>
        </w:rPr>
        <w:t xml:space="preserve">Indicative duration: 3 to 4 weeks</w:t>
      </w:r>
    </w:p>
    <w:p>
      <w:pPr>
        <w:pStyle w:val="ListParagraph"/>
        <w:numPr>
          <w:ilvl w:val="0"/>
          <w:numId w:val="2"/>
        </w:numPr>
        <w:spacing w:after="60" w:line="276"/>
      </w:pPr>
      <w:r>
        <w:rPr>
          <w:rFonts w:ascii="Calibri" w:cs="Calibri" w:eastAsia="Calibri" w:hAnsi="Calibri"/>
          <w:sz w:val="21"/>
          <w:szCs w:val="21"/>
        </w:rPr>
        <w:t xml:space="preserve">Work orders with full lifecycle and cost capture</w:t>
      </w:r>
    </w:p>
    <w:p>
      <w:pPr>
        <w:pStyle w:val="ListParagraph"/>
        <w:numPr>
          <w:ilvl w:val="0"/>
          <w:numId w:val="2"/>
        </w:numPr>
        <w:spacing w:after="60" w:line="276"/>
      </w:pPr>
      <w:r>
        <w:rPr>
          <w:rFonts w:ascii="Calibri" w:cs="Calibri" w:eastAsia="Calibri" w:hAnsi="Calibri"/>
          <w:sz w:val="21"/>
          <w:szCs w:val="21"/>
        </w:rPr>
        <w:t xml:space="preserve">Preventive maintenance schedules</w:t>
      </w:r>
    </w:p>
    <w:p>
      <w:pPr>
        <w:pStyle w:val="ListParagraph"/>
        <w:numPr>
          <w:ilvl w:val="0"/>
          <w:numId w:val="2"/>
        </w:numPr>
        <w:spacing w:after="60" w:line="276"/>
      </w:pPr>
      <w:r>
        <w:rPr>
          <w:rFonts w:ascii="Calibri" w:cs="Calibri" w:eastAsia="Calibri" w:hAnsi="Calibri"/>
          <w:sz w:val="21"/>
          <w:szCs w:val="21"/>
        </w:rPr>
        <w:t xml:space="preserve">Vendor directory</w:t>
      </w:r>
    </w:p>
    <w:p>
      <w:pPr>
        <w:pStyle w:val="ListParagraph"/>
        <w:numPr>
          <w:ilvl w:val="0"/>
          <w:numId w:val="2"/>
        </w:numPr>
        <w:spacing w:after="60" w:line="276"/>
      </w:pPr>
      <w:r>
        <w:rPr>
          <w:rFonts w:ascii="Calibri" w:cs="Calibri" w:eastAsia="Calibri" w:hAnsi="Calibri"/>
          <w:sz w:val="21"/>
          <w:szCs w:val="21"/>
        </w:rPr>
        <w:t xml:space="preserve">Asset and inventory register</w:t>
      </w:r>
    </w:p>
    <w:p>
      <w:pPr>
        <w:pStyle w:val="ListParagraph"/>
        <w:numPr>
          <w:ilvl w:val="0"/>
          <w:numId w:val="2"/>
        </w:numPr>
        <w:spacing w:after="60" w:line="276"/>
      </w:pPr>
      <w:r>
        <w:rPr>
          <w:rFonts w:ascii="Calibri" w:cs="Calibri" w:eastAsia="Calibri" w:hAnsi="Calibri"/>
          <w:sz w:val="21"/>
          <w:szCs w:val="21"/>
        </w:rPr>
        <w:t xml:space="preserve">Housekeeping scheduling with mobile checklists</w:t>
      </w:r>
    </w:p>
    <w:p>
      <w:pPr>
        <w:pStyle w:val="ListParagraph"/>
        <w:numPr>
          <w:ilvl w:val="0"/>
          <w:numId w:val="2"/>
        </w:numPr>
        <w:spacing w:after="60" w:line="276"/>
      </w:pPr>
      <w:r>
        <w:rPr>
          <w:rFonts w:ascii="Calibri" w:cs="Calibri" w:eastAsia="Calibri" w:hAnsi="Calibri"/>
          <w:sz w:val="21"/>
          <w:szCs w:val="21"/>
        </w:rPr>
        <w:t xml:space="preserve">Guest messaging templates and communication log</w:t>
      </w:r>
    </w:p>
    <w:p>
      <w:pPr>
        <w:pStyle w:val="ListParagraph"/>
        <w:numPr>
          <w:ilvl w:val="0"/>
          <w:numId w:val="2"/>
        </w:numPr>
        <w:spacing w:after="60" w:line="276"/>
      </w:pPr>
      <w:r>
        <w:rPr>
          <w:rFonts w:ascii="Calibri" w:cs="Calibri" w:eastAsia="Calibri" w:hAnsi="Calibri"/>
          <w:sz w:val="21"/>
          <w:szCs w:val="21"/>
        </w:rPr>
        <w:t xml:space="preserve">Reporting suite: occupancy, ADR, RevPAR, per-unit profit</w:t>
      </w:r>
    </w:p>
    <w:p>
      <w:pPr>
        <w:spacing w:after="120" w:line="276"/>
      </w:pPr>
      <w:r>
        <w:rPr>
          <w:rFonts w:ascii="Calibri" w:cs="Calibri" w:eastAsia="Calibri" w:hAnsi="Calibri"/>
          <w:b/>
          <w:bCs/>
          <w:sz w:val="21"/>
          <w:szCs w:val="21"/>
        </w:rPr>
        <w:t xml:space="preserve">Outcome: </w:t>
      </w:r>
      <w:r>
        <w:rPr>
          <w:rFonts w:ascii="Calibri" w:cs="Calibri" w:eastAsia="Calibri" w:hAnsi="Calibri"/>
          <w:sz w:val="21"/>
          <w:szCs w:val="21"/>
        </w:rPr>
        <w:t xml:space="preserve">day-to-day operations run inside the system rather than over messaging apps.</w:t>
      </w:r>
    </w:p>
    <w:p>
      <w:pPr>
        <w:pStyle w:val="Heading2"/>
        <w:spacing w:after="120" w:before="240"/>
      </w:pPr>
      <w:r>
        <w:rPr>
          <w:rFonts w:ascii="Calibri" w:cs="Calibri" w:eastAsia="Calibri" w:hAnsi="Calibri"/>
          <w:b/>
          <w:bCs/>
          <w:color w:val="1F4E79"/>
          <w:sz w:val="24"/>
          <w:szCs w:val="24"/>
        </w:rPr>
        <w:t xml:space="preserve">Phase 4 — Optimisation</w:t>
      </w:r>
    </w:p>
    <w:p>
      <w:pPr>
        <w:spacing w:after="120" w:line="276"/>
      </w:pPr>
      <w:r>
        <w:rPr>
          <w:rFonts w:ascii="Calibri" w:cs="Calibri" w:eastAsia="Calibri" w:hAnsi="Calibri"/>
          <w:i/>
          <w:iCs/>
          <w:sz w:val="21"/>
          <w:szCs w:val="21"/>
        </w:rPr>
        <w:t xml:space="preserve">Indicative duration: ongoing</w:t>
      </w:r>
    </w:p>
    <w:p>
      <w:pPr>
        <w:pStyle w:val="ListParagraph"/>
        <w:numPr>
          <w:ilvl w:val="0"/>
          <w:numId w:val="2"/>
        </w:numPr>
        <w:spacing w:after="60" w:line="276"/>
      </w:pPr>
      <w:r>
        <w:rPr>
          <w:rFonts w:ascii="Calibri" w:cs="Calibri" w:eastAsia="Calibri" w:hAnsi="Calibri"/>
          <w:sz w:val="21"/>
          <w:szCs w:val="21"/>
        </w:rPr>
        <w:t xml:space="preserve">Direct channel API integrations replacing iCal</w:t>
      </w:r>
    </w:p>
    <w:p>
      <w:pPr>
        <w:pStyle w:val="ListParagraph"/>
        <w:numPr>
          <w:ilvl w:val="0"/>
          <w:numId w:val="2"/>
        </w:numPr>
        <w:spacing w:after="60" w:line="276"/>
      </w:pPr>
      <w:r>
        <w:rPr>
          <w:rFonts w:ascii="Calibri" w:cs="Calibri" w:eastAsia="Calibri" w:hAnsi="Calibri"/>
          <w:sz w:val="21"/>
          <w:szCs w:val="21"/>
        </w:rPr>
        <w:t xml:space="preserve">Smart lock integration for automatic access codes</w:t>
      </w:r>
    </w:p>
    <w:p>
      <w:pPr>
        <w:pStyle w:val="ListParagraph"/>
        <w:numPr>
          <w:ilvl w:val="0"/>
          <w:numId w:val="2"/>
        </w:numPr>
        <w:spacing w:after="60" w:line="276"/>
      </w:pPr>
      <w:r>
        <w:rPr>
          <w:rFonts w:ascii="Calibri" w:cs="Calibri" w:eastAsia="Calibri" w:hAnsi="Calibri"/>
          <w:sz w:val="21"/>
          <w:szCs w:val="21"/>
        </w:rPr>
        <w:t xml:space="preserve">Dynamic pricing suggestions based on demand and lead time</w:t>
      </w:r>
    </w:p>
    <w:p>
      <w:pPr>
        <w:pStyle w:val="ListParagraph"/>
        <w:numPr>
          <w:ilvl w:val="0"/>
          <w:numId w:val="2"/>
        </w:numPr>
        <w:spacing w:after="60" w:line="276"/>
      </w:pPr>
      <w:r>
        <w:rPr>
          <w:rFonts w:ascii="Calibri" w:cs="Calibri" w:eastAsia="Calibri" w:hAnsi="Calibri"/>
          <w:sz w:val="21"/>
          <w:szCs w:val="21"/>
        </w:rPr>
        <w:t xml:space="preserve">Guest-facing portal for booking details and check-in instructions</w:t>
      </w:r>
    </w:p>
    <w:p>
      <w:pPr>
        <w:pStyle w:val="ListParagraph"/>
        <w:numPr>
          <w:ilvl w:val="0"/>
          <w:numId w:val="2"/>
        </w:numPr>
        <w:spacing w:after="60" w:line="276"/>
      </w:pPr>
      <w:r>
        <w:rPr>
          <w:rFonts w:ascii="Calibri" w:cs="Calibri" w:eastAsia="Calibri" w:hAnsi="Calibri"/>
          <w:sz w:val="21"/>
          <w:szCs w:val="21"/>
        </w:rPr>
        <w:t xml:space="preserve">Owner portal, if you later manage third-party units</w:t>
      </w:r>
    </w:p>
    <w:p>
      <w:pPr>
        <w:pStyle w:val="ListParagraph"/>
        <w:numPr>
          <w:ilvl w:val="0"/>
          <w:numId w:val="2"/>
        </w:numPr>
        <w:spacing w:after="60" w:line="276"/>
      </w:pPr>
      <w:r>
        <w:rPr>
          <w:rFonts w:ascii="Calibri" w:cs="Calibri" w:eastAsia="Calibri" w:hAnsi="Calibri"/>
          <w:sz w:val="21"/>
          <w:szCs w:val="21"/>
        </w:rPr>
        <w:t xml:space="preserve">Arabic language support</w:t>
      </w:r>
    </w:p>
    <w:p>
      <w:pPr>
        <w:pStyle w:val="ListParagraph"/>
        <w:numPr>
          <w:ilvl w:val="0"/>
          <w:numId w:val="2"/>
        </w:numPr>
        <w:spacing w:after="60" w:line="276"/>
      </w:pPr>
      <w:r>
        <w:rPr>
          <w:rFonts w:ascii="Calibri" w:cs="Calibri" w:eastAsia="Calibri" w:hAnsi="Calibri"/>
          <w:sz w:val="21"/>
          <w:szCs w:val="21"/>
        </w:rPr>
        <w:t xml:space="preserve">Accounting package integration</w:t>
      </w:r>
    </w:p>
    <w:p>
      <w:r>
        <w:br w:type="page"/>
      </w:r>
    </w:p>
    <w:p>
      <w:pPr>
        <w:pStyle w:val="Heading1"/>
        <w:spacing w:after="160" w:before="320"/>
      </w:pPr>
      <w:r>
        <w:rPr>
          <w:rFonts w:ascii="Calibri" w:cs="Calibri" w:eastAsia="Calibri" w:hAnsi="Calibri"/>
          <w:b/>
          <w:bCs/>
          <w:color w:val="1F4E79"/>
          <w:sz w:val="30"/>
          <w:szCs w:val="30"/>
        </w:rPr>
        <w:t xml:space="preserve">8. Decisions Required Before Build</w:t>
      </w:r>
    </w:p>
    <w:p>
      <w:pPr>
        <w:spacing w:after="120" w:line="276"/>
      </w:pPr>
      <w:r>
        <w:rPr>
          <w:rFonts w:ascii="Calibri" w:cs="Calibri" w:eastAsia="Calibri" w:hAnsi="Calibri"/>
          <w:sz w:val="21"/>
          <w:szCs w:val="21"/>
        </w:rPr>
        <w:t xml:space="preserve">These affect the design and should be settled first.</w:t>
      </w:r>
    </w:p>
    <w:tbl>
      <w:tblPr>
        <w:tblW w:type="dxa" w:w="9026"/>
        <w:tblBorders>
          <w:top w:val="single" w:color="BFBFBF" w:sz="2"/>
          <w:left w:val="single" w:color="BFBFBF" w:sz="2"/>
          <w:bottom w:val="single" w:color="BFBFBF" w:sz="2"/>
          <w:right w:val="single" w:color="BFBFBF" w:sz="2"/>
          <w:insideH w:val="single" w:color="D9D9D9" w:sz="1"/>
          <w:insideV w:val="single" w:color="D9D9D9" w:sz="1"/>
        </w:tblBorders>
      </w:tblPr>
      <w:tblGrid>
        <w:gridCol w:w="600"/>
        <w:gridCol w:w="3800"/>
        <w:gridCol w:w="4626"/>
      </w:tblGrid>
      <w:tr>
        <w:trPr>
          <w:tblHeader/>
        </w:trPr>
        <w:tc>
          <w:tcPr>
            <w:tcW w:type="dxa" w:w="6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t>
            </w:r>
          </w:p>
        </w:tc>
        <w:tc>
          <w:tcPr>
            <w:tcW w:type="dxa" w:w="3800"/>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Question</w:t>
            </w:r>
          </w:p>
        </w:tc>
        <w:tc>
          <w:tcPr>
            <w:tcW w:type="dxa" w:w="4626"/>
            <w:shd w:fill="1F4E79"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r>
      <w:tr>
        <w:tc>
          <w:tcPr>
            <w:tcW w:type="dxa" w:w="600"/>
            <w:tcMar>
              <w:top w:type="dxa" w:w="80"/>
              <w:left w:type="dxa" w:w="120"/>
              <w:bottom w:type="dxa" w:w="80"/>
              <w:right w:type="dxa" w:w="120"/>
            </w:tcMar>
          </w:tcPr>
          <w:p>
            <w:pPr>
              <w:spacing w:after="0" w:line="252"/>
            </w:pPr>
            <w:r>
              <w:rPr>
                <w:rFonts w:ascii="Calibri" w:cs="Calibri" w:eastAsia="Calibri" w:hAnsi="Calibri"/>
                <w:sz w:val="19"/>
                <w:szCs w:val="19"/>
              </w:rPr>
              <w:t xml:space="preserve">1</w:t>
            </w:r>
          </w:p>
        </w:tc>
        <w:tc>
          <w:tcPr>
            <w:tcW w:type="dxa" w:w="3800"/>
            <w:tcMar>
              <w:top w:type="dxa" w:w="80"/>
              <w:left w:type="dxa" w:w="120"/>
              <w:bottom w:type="dxa" w:w="80"/>
              <w:right w:type="dxa" w:w="120"/>
            </w:tcMar>
          </w:tcPr>
          <w:p>
            <w:pPr>
              <w:spacing w:after="0" w:line="252"/>
            </w:pPr>
            <w:r>
              <w:rPr>
                <w:rFonts w:ascii="Calibri" w:cs="Calibri" w:eastAsia="Calibri" w:hAnsi="Calibri"/>
                <w:sz w:val="19"/>
                <w:szCs w:val="19"/>
              </w:rPr>
              <w:t xml:space="preserve">Which channels will you list on — Airbnb, Booking.com, direct, or others?</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Determines whether iCal is sufficient or direct API integration is needed, and how commission is modelled.</w:t>
            </w:r>
          </w:p>
        </w:tc>
      </w:tr>
      <w:tr>
        <w:tc>
          <w:tcPr>
            <w:tcW w:type="dxa" w:w="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2</w:t>
            </w:r>
          </w:p>
        </w:tc>
        <w:tc>
          <w:tcPr>
            <w:tcW w:type="dxa" w:w="3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Are you already VAT-registered, and what is your current annual turnover?</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Decides whether VAT handling is needed at launch or can wait, and whether threshold monitoring is urgent.</w:t>
            </w:r>
          </w:p>
        </w:tc>
      </w:tr>
      <w:tr>
        <w:tc>
          <w:tcPr>
            <w:tcW w:type="dxa" w:w="600"/>
            <w:tcMar>
              <w:top w:type="dxa" w:w="80"/>
              <w:left w:type="dxa" w:w="120"/>
              <w:bottom w:type="dxa" w:w="80"/>
              <w:right w:type="dxa" w:w="120"/>
            </w:tcMar>
          </w:tcPr>
          <w:p>
            <w:pPr>
              <w:spacing w:after="0" w:line="252"/>
            </w:pPr>
            <w:r>
              <w:rPr>
                <w:rFonts w:ascii="Calibri" w:cs="Calibri" w:eastAsia="Calibri" w:hAnsi="Calibri"/>
                <w:sz w:val="19"/>
                <w:szCs w:val="19"/>
              </w:rPr>
              <w:t xml:space="preserve">3</w:t>
            </w:r>
          </w:p>
        </w:tc>
        <w:tc>
          <w:tcPr>
            <w:tcW w:type="dxa" w:w="3800"/>
            <w:tcMar>
              <w:top w:type="dxa" w:w="80"/>
              <w:left w:type="dxa" w:w="120"/>
              <w:bottom w:type="dxa" w:w="80"/>
              <w:right w:type="dxa" w:w="120"/>
            </w:tcMar>
          </w:tcPr>
          <w:p>
            <w:pPr>
              <w:spacing w:after="0" w:line="252"/>
            </w:pPr>
            <w:r>
              <w:rPr>
                <w:rFonts w:ascii="Calibri" w:cs="Calibri" w:eastAsia="Calibri" w:hAnsi="Calibri"/>
                <w:sz w:val="19"/>
                <w:szCs w:val="19"/>
              </w:rPr>
              <w:t xml:space="preserve">Do you hold the units as owner, or as a tenant sub-letting with an NOC?</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Changes the document set required and whether landlord NOC expiry tracking is needed.</w:t>
            </w:r>
          </w:p>
        </w:tc>
      </w:tr>
      <w:tr>
        <w:tc>
          <w:tcPr>
            <w:tcW w:type="dxa" w:w="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4</w:t>
            </w:r>
          </w:p>
        </w:tc>
        <w:tc>
          <w:tcPr>
            <w:tcW w:type="dxa" w:w="3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How many units today, and what is the 24-month plan?</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Influences whether to build or to configure an existing platform.</w:t>
            </w:r>
          </w:p>
        </w:tc>
      </w:tr>
      <w:tr>
        <w:tc>
          <w:tcPr>
            <w:tcW w:type="dxa" w:w="600"/>
            <w:tcMar>
              <w:top w:type="dxa" w:w="80"/>
              <w:left w:type="dxa" w:w="120"/>
              <w:bottom w:type="dxa" w:w="80"/>
              <w:right w:type="dxa" w:w="120"/>
            </w:tcMar>
          </w:tcPr>
          <w:p>
            <w:pPr>
              <w:spacing w:after="0" w:line="252"/>
            </w:pPr>
            <w:r>
              <w:rPr>
                <w:rFonts w:ascii="Calibri" w:cs="Calibri" w:eastAsia="Calibri" w:hAnsi="Calibri"/>
                <w:sz w:val="19"/>
                <w:szCs w:val="19"/>
              </w:rPr>
              <w:t xml:space="preserve">5</w:t>
            </w:r>
          </w:p>
        </w:tc>
        <w:tc>
          <w:tcPr>
            <w:tcW w:type="dxa" w:w="3800"/>
            <w:tcMar>
              <w:top w:type="dxa" w:w="80"/>
              <w:left w:type="dxa" w:w="120"/>
              <w:bottom w:type="dxa" w:w="80"/>
              <w:right w:type="dxa" w:w="120"/>
            </w:tcMar>
          </w:tcPr>
          <w:p>
            <w:pPr>
              <w:spacing w:after="0" w:line="252"/>
            </w:pPr>
            <w:r>
              <w:rPr>
                <w:rFonts w:ascii="Calibri" w:cs="Calibri" w:eastAsia="Calibri" w:hAnsi="Calibri"/>
                <w:sz w:val="19"/>
                <w:szCs w:val="19"/>
              </w:rPr>
              <w:t xml:space="preserve">Who else will use the system — cleaners, a maintenance contractor, an accountant?</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Defines the role model and how much mobile work is required.</w:t>
            </w:r>
          </w:p>
        </w:tc>
      </w:tr>
      <w:tr>
        <w:tc>
          <w:tcPr>
            <w:tcW w:type="dxa" w:w="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6</w:t>
            </w:r>
          </w:p>
        </w:tc>
        <w:tc>
          <w:tcPr>
            <w:tcW w:type="dxa" w:w="3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Preferred payment gateway, and do you need to accept currencies other than AED?</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Affects integration work and reconciliation design.</w:t>
            </w:r>
          </w:p>
        </w:tc>
      </w:tr>
      <w:tr>
        <w:tc>
          <w:tcPr>
            <w:tcW w:type="dxa" w:w="600"/>
            <w:tcMar>
              <w:top w:type="dxa" w:w="80"/>
              <w:left w:type="dxa" w:w="120"/>
              <w:bottom w:type="dxa" w:w="80"/>
              <w:right w:type="dxa" w:w="120"/>
            </w:tcMar>
          </w:tcPr>
          <w:p>
            <w:pPr>
              <w:spacing w:after="0" w:line="252"/>
            </w:pPr>
            <w:r>
              <w:rPr>
                <w:rFonts w:ascii="Calibri" w:cs="Calibri" w:eastAsia="Calibri" w:hAnsi="Calibri"/>
                <w:sz w:val="19"/>
                <w:szCs w:val="19"/>
              </w:rPr>
              <w:t xml:space="preserve">7</w:t>
            </w:r>
          </w:p>
        </w:tc>
        <w:tc>
          <w:tcPr>
            <w:tcW w:type="dxa" w:w="3800"/>
            <w:tcMar>
              <w:top w:type="dxa" w:w="80"/>
              <w:left w:type="dxa" w:w="120"/>
              <w:bottom w:type="dxa" w:w="80"/>
              <w:right w:type="dxa" w:w="120"/>
            </w:tcMar>
          </w:tcPr>
          <w:p>
            <w:pPr>
              <w:spacing w:after="0" w:line="252"/>
            </w:pPr>
            <w:r>
              <w:rPr>
                <w:rFonts w:ascii="Calibri" w:cs="Calibri" w:eastAsia="Calibri" w:hAnsi="Calibri"/>
                <w:sz w:val="19"/>
                <w:szCs w:val="19"/>
              </w:rPr>
              <w:t xml:space="preserve">Do you have a data residency requirement for personal data?</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Determines hosting region, which is hard to change later.</w:t>
            </w:r>
          </w:p>
        </w:tc>
      </w:tr>
      <w:tr>
        <w:tc>
          <w:tcPr>
            <w:tcW w:type="dxa" w:w="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8</w:t>
            </w:r>
          </w:p>
        </w:tc>
        <w:tc>
          <w:tcPr>
            <w:tcW w:type="dxa" w:w="3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What is your budget and target launch date?</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Determines phase scope and whether to build, buy, or combine both.</w:t>
            </w:r>
          </w:p>
        </w:tc>
      </w:tr>
      <w:tr>
        <w:tc>
          <w:tcPr>
            <w:tcW w:type="dxa" w:w="600"/>
            <w:tcMar>
              <w:top w:type="dxa" w:w="80"/>
              <w:left w:type="dxa" w:w="120"/>
              <w:bottom w:type="dxa" w:w="80"/>
              <w:right w:type="dxa" w:w="120"/>
            </w:tcMar>
          </w:tcPr>
          <w:p>
            <w:pPr>
              <w:spacing w:after="0" w:line="252"/>
            </w:pPr>
            <w:r>
              <w:rPr>
                <w:rFonts w:ascii="Calibri" w:cs="Calibri" w:eastAsia="Calibri" w:hAnsi="Calibri"/>
                <w:sz w:val="19"/>
                <w:szCs w:val="19"/>
              </w:rPr>
              <w:t xml:space="preserve">9</w:t>
            </w:r>
          </w:p>
        </w:tc>
        <w:tc>
          <w:tcPr>
            <w:tcW w:type="dxa" w:w="3800"/>
            <w:tcMar>
              <w:top w:type="dxa" w:w="80"/>
              <w:left w:type="dxa" w:w="120"/>
              <w:bottom w:type="dxa" w:w="80"/>
              <w:right w:type="dxa" w:w="120"/>
            </w:tcMar>
          </w:tcPr>
          <w:p>
            <w:pPr>
              <w:spacing w:after="0" w:line="252"/>
            </w:pPr>
            <w:r>
              <w:rPr>
                <w:rFonts w:ascii="Calibri" w:cs="Calibri" w:eastAsia="Calibri" w:hAnsi="Calibri"/>
                <w:sz w:val="19"/>
                <w:szCs w:val="19"/>
              </w:rPr>
              <w:t xml:space="preserve">Do you use an accounting package already?</w:t>
            </w:r>
          </w:p>
        </w:tc>
        <w:tc>
          <w:tcPr>
            <w:tcW w:type="dxa" w:w="4626"/>
            <w:tcMar>
              <w:top w:type="dxa" w:w="80"/>
              <w:left w:type="dxa" w:w="120"/>
              <w:bottom w:type="dxa" w:w="80"/>
              <w:right w:type="dxa" w:w="120"/>
            </w:tcMar>
          </w:tcPr>
          <w:p>
            <w:pPr>
              <w:spacing w:after="0" w:line="252"/>
            </w:pPr>
            <w:r>
              <w:rPr>
                <w:rFonts w:ascii="Calibri" w:cs="Calibri" w:eastAsia="Calibri" w:hAnsi="Calibri"/>
                <w:sz w:val="19"/>
                <w:szCs w:val="19"/>
              </w:rPr>
              <w:t xml:space="preserve">Decides whether the finance module exports to it or replaces part of it.</w:t>
            </w:r>
          </w:p>
        </w:tc>
      </w:tr>
      <w:tr>
        <w:tc>
          <w:tcPr>
            <w:tcW w:type="dxa" w:w="6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10</w:t>
            </w:r>
          </w:p>
        </w:tc>
        <w:tc>
          <w:tcPr>
            <w:tcW w:type="dxa" w:w="3800"/>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Confirmed DET guest-registration deadline and current fee schedule?</w:t>
            </w:r>
          </w:p>
        </w:tc>
        <w:tc>
          <w:tcPr>
            <w:tcW w:type="dxa" w:w="4626"/>
            <w:shd w:fill="F2F2F2" w:val="clear"/>
            <w:tcMar>
              <w:top w:type="dxa" w:w="80"/>
              <w:left w:type="dxa" w:w="120"/>
              <w:bottom w:type="dxa" w:w="80"/>
              <w:right w:type="dxa" w:w="120"/>
            </w:tcMar>
          </w:tcPr>
          <w:p>
            <w:pPr>
              <w:spacing w:after="0" w:line="252"/>
            </w:pPr>
            <w:r>
              <w:rPr>
                <w:rFonts w:ascii="Calibri" w:cs="Calibri" w:eastAsia="Calibri" w:hAnsi="Calibri"/>
                <w:sz w:val="19"/>
                <w:szCs w:val="19"/>
              </w:rPr>
              <w:t xml:space="preserve">Flagged in section 3.1 — published guidance was inconsistent and must be verified with DET.</w:t>
            </w:r>
          </w:p>
        </w:tc>
      </w:tr>
    </w:tbl>
    <w:p>
      <w:pPr>
        <w:pStyle w:val="Heading2"/>
        <w:spacing w:after="120" w:before="240"/>
      </w:pPr>
      <w:r>
        <w:rPr>
          <w:rFonts w:ascii="Calibri" w:cs="Calibri" w:eastAsia="Calibri" w:hAnsi="Calibri"/>
          <w:b/>
          <w:bCs/>
          <w:color w:val="1F4E79"/>
          <w:sz w:val="24"/>
          <w:szCs w:val="24"/>
        </w:rPr>
        <w:t xml:space="preserve">Recommended next step</w:t>
      </w:r>
    </w:p>
    <w:p>
      <w:pPr>
        <w:spacing w:after="120" w:line="276"/>
      </w:pPr>
      <w:r>
        <w:rPr>
          <w:rFonts w:ascii="Calibri" w:cs="Calibri" w:eastAsia="Calibri" w:hAnsi="Calibri"/>
          <w:sz w:val="21"/>
          <w:szCs w:val="21"/>
        </w:rPr>
        <w:t xml:space="preserve">Answer the questions above, then confirm the current DET requirements directly with the Department of Economy and Tourism before any development begins. Once those are settled, this specification can be turned into a build backlog with acceptance criteria for each phase.</w:t>
      </w:r>
    </w:p>
    <w:p>
      <w:r>
        <w:br w:type="page"/>
      </w:r>
    </w:p>
    <w:p>
      <w:pPr>
        <w:pStyle w:val="Heading1"/>
        <w:spacing w:after="160" w:before="320"/>
      </w:pPr>
      <w:r>
        <w:rPr>
          <w:rFonts w:ascii="Calibri" w:cs="Calibri" w:eastAsia="Calibri" w:hAnsi="Calibri"/>
          <w:b/>
          <w:bCs/>
          <w:color w:val="1F4E79"/>
          <w:sz w:val="30"/>
          <w:szCs w:val="30"/>
        </w:rPr>
        <w:t xml:space="preserve">Appendix A — Sources</w:t>
      </w:r>
    </w:p>
    <w:p>
      <w:pPr>
        <w:spacing w:after="120" w:line="276"/>
      </w:pPr>
      <w:r>
        <w:rPr>
          <w:rFonts w:ascii="Calibri" w:cs="Calibri" w:eastAsia="Calibri" w:hAnsi="Calibri"/>
          <w:sz w:val="21"/>
          <w:szCs w:val="21"/>
        </w:rPr>
        <w:t xml:space="preserve">Regulatory details in section 3 were compiled from the following public sources on 31 July 2026. These are secondary commentary, not official texts; confirm all figures and deadlines with the Department of Economy and Tourism and the Federal Tax Authority before relying on them.</w:t>
      </w:r>
    </w:p>
    <w:p>
      <w:pPr>
        <w:pStyle w:val="ListParagraph"/>
        <w:numPr>
          <w:ilvl w:val="0"/>
          <w:numId w:val="2"/>
        </w:numPr>
        <w:spacing w:after="60" w:line="276"/>
      </w:pPr>
      <w:r>
        <w:rPr>
          <w:rFonts w:ascii="Calibri" w:cs="Calibri" w:eastAsia="Calibri" w:hAnsi="Calibri"/>
          <w:sz w:val="21"/>
          <w:szCs w:val="21"/>
        </w:rPr>
        <w:t xml:space="preserve">Dubai Department of Economy and Tourism — holiday homes framework, established under Decree No. 41 of 2013 and its 2020 implementing by-law</w:t>
      </w:r>
    </w:p>
    <w:p>
      <w:pPr>
        <w:pStyle w:val="ListParagraph"/>
        <w:numPr>
          <w:ilvl w:val="0"/>
          <w:numId w:val="2"/>
        </w:numPr>
        <w:spacing w:after="60" w:line="276"/>
      </w:pPr>
      <w:r>
        <w:rPr>
          <w:rFonts w:ascii="Calibri" w:cs="Calibri" w:eastAsia="Calibri" w:hAnsi="Calibri"/>
          <w:sz w:val="21"/>
          <w:szCs w:val="21"/>
        </w:rPr>
        <w:t xml:space="preserve">houst.com — Dubai Holiday Home Permit: Rules, Fees and VAT (2026)</w:t>
      </w:r>
    </w:p>
    <w:p>
      <w:pPr>
        <w:pStyle w:val="ListParagraph"/>
        <w:numPr>
          <w:ilvl w:val="0"/>
          <w:numId w:val="2"/>
        </w:numPr>
        <w:spacing w:after="60" w:line="276"/>
      </w:pPr>
      <w:r>
        <w:rPr>
          <w:rFonts w:ascii="Calibri" w:cs="Calibri" w:eastAsia="Calibri" w:hAnsi="Calibri"/>
          <w:sz w:val="21"/>
          <w:szCs w:val="21"/>
        </w:rPr>
        <w:t xml:space="preserve">chargeautomation.com — Dubai Holiday Home Licence Guide 2026</w:t>
      </w:r>
    </w:p>
    <w:p>
      <w:pPr>
        <w:pStyle w:val="ListParagraph"/>
        <w:numPr>
          <w:ilvl w:val="0"/>
          <w:numId w:val="2"/>
        </w:numPr>
        <w:spacing w:after="60" w:line="276"/>
      </w:pPr>
      <w:r>
        <w:rPr>
          <w:rFonts w:ascii="Calibri" w:cs="Calibri" w:eastAsia="Calibri" w:hAnsi="Calibri"/>
          <w:sz w:val="21"/>
          <w:szCs w:val="21"/>
        </w:rPr>
        <w:t xml:space="preserve">guestready.com — Dubai holiday home licence, complete 2026 guide</w:t>
      </w:r>
    </w:p>
    <w:p>
      <w:pPr>
        <w:pStyle w:val="ListParagraph"/>
        <w:numPr>
          <w:ilvl w:val="0"/>
          <w:numId w:val="2"/>
        </w:numPr>
        <w:spacing w:after="60" w:line="276"/>
      </w:pPr>
      <w:r>
        <w:rPr>
          <w:rFonts w:ascii="Calibri" w:cs="Calibri" w:eastAsia="Calibri" w:hAnsi="Calibri"/>
          <w:sz w:val="21"/>
          <w:szCs w:val="21"/>
        </w:rPr>
        <w:t xml:space="preserve">realestateclubdubai.com — Dubai Holiday Home License, DET permit guide 2026</w:t>
      </w:r>
    </w:p>
    <w:p>
      <w:pPr>
        <w:pStyle w:val="ListParagraph"/>
        <w:numPr>
          <w:ilvl w:val="0"/>
          <w:numId w:val="2"/>
        </w:numPr>
        <w:spacing w:after="60" w:line="276"/>
      </w:pPr>
      <w:r>
        <w:rPr>
          <w:rFonts w:ascii="Calibri" w:cs="Calibri" w:eastAsia="Calibri" w:hAnsi="Calibri"/>
          <w:sz w:val="21"/>
          <w:szCs w:val="21"/>
        </w:rPr>
        <w:t xml:space="preserve">chekin.com — Dubai holiday home rental regulations guide</w:t>
      </w:r>
    </w:p>
    <w:p>
      <w:pPr>
        <w:pStyle w:val="ListParagraph"/>
        <w:numPr>
          <w:ilvl w:val="0"/>
          <w:numId w:val="2"/>
        </w:numPr>
        <w:spacing w:after="60" w:line="276"/>
      </w:pPr>
      <w:r>
        <w:rPr>
          <w:rFonts w:ascii="Calibri" w:cs="Calibri" w:eastAsia="Calibri" w:hAnsi="Calibri"/>
          <w:sz w:val="21"/>
          <w:szCs w:val="21"/>
        </w:rPr>
        <w:t xml:space="preserve">kaizenams.com — changes to Dubai holiday home rules for 2026</w:t>
      </w:r>
    </w:p>
    <w:p>
      <w:pPr>
        <w:pStyle w:val="ListParagraph"/>
        <w:numPr>
          <w:ilvl w:val="0"/>
          <w:numId w:val="2"/>
        </w:numPr>
        <w:spacing w:after="60" w:line="276"/>
      </w:pPr>
      <w:r>
        <w:rPr>
          <w:rFonts w:ascii="Calibri" w:cs="Calibri" w:eastAsia="Calibri" w:hAnsi="Calibri"/>
          <w:sz w:val="21"/>
          <w:szCs w:val="21"/>
        </w:rPr>
        <w:t xml:space="preserve">UAE Federal Decree-Law No. 45 of 2021 on the Protection of Personal Data</w:t>
      </w:r>
    </w:p>
    <w:p>
      <w:pPr>
        <w:pStyle w:val="ListParagraph"/>
        <w:numPr>
          <w:ilvl w:val="0"/>
          <w:numId w:val="2"/>
        </w:numPr>
        <w:spacing w:after="60" w:line="276"/>
      </w:pPr>
      <w:r>
        <w:rPr>
          <w:rFonts w:ascii="Calibri" w:cs="Calibri" w:eastAsia="Calibri" w:hAnsi="Calibri"/>
          <w:sz w:val="21"/>
          <w:szCs w:val="21"/>
        </w:rPr>
        <w:t xml:space="preserve">u.ae — official UAE government portal, data protection laws</w:t>
      </w:r>
    </w:p>
    <w:p>
      <w:pPr>
        <w:pStyle w:val="ListParagraph"/>
        <w:numPr>
          <w:ilvl w:val="0"/>
          <w:numId w:val="2"/>
        </w:numPr>
        <w:spacing w:after="60" w:line="276"/>
      </w:pPr>
      <w:r>
        <w:rPr>
          <w:rFonts w:ascii="Calibri" w:cs="Calibri" w:eastAsia="Calibri" w:hAnsi="Calibri"/>
          <w:sz w:val="21"/>
          <w:szCs w:val="21"/>
        </w:rPr>
        <w:t xml:space="preserve">PwC Tax Summaries and UAE Federal Tax Authority guidance on VAT treatment of short-term accommodation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Holiday Rental Management System — Specification</dc:title>
  <dc:creator>Rent Business System Specification</dc:creator>
  <cp:lastModifiedBy>Un-named</cp:lastModifiedBy>
  <cp:revision>1</cp:revision>
  <dcterms:created xsi:type="dcterms:W3CDTF">2026-07-31T18:01:31.470Z</dcterms:created>
  <dcterms:modified xsi:type="dcterms:W3CDTF">2026-07-31T18:01:31.470Z</dcterms:modified>
</cp:coreProperties>
</file>

<file path=docProps/custom.xml><?xml version="1.0" encoding="utf-8"?>
<Properties xmlns="http://schemas.openxmlformats.org/officeDocument/2006/custom-properties" xmlns:vt="http://schemas.openxmlformats.org/officeDocument/2006/docPropsVTypes"/>
</file>