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Calibri" w:cs="Calibri" w:eastAsia="Calibri" w:hAnsi="Calibri"/>
          <w:b/>
          <w:bCs/>
          <w:color w:val="1F4E79"/>
          <w:sz w:val="52"/>
          <w:szCs w:val="52"/>
        </w:rPr>
        <w:t xml:space="preserve">Implementation Plan</w:t>
      </w:r>
    </w:p>
    <w:p>
      <w:pPr>
        <w:spacing w:after="300"/>
        <w:jc w:val="center"/>
      </w:pPr>
      <w:r>
        <w:rPr>
          <w:rFonts w:ascii="Calibri" w:cs="Calibri" w:eastAsia="Calibri" w:hAnsi="Calibri"/>
          <w:color w:val="595959"/>
          <w:sz w:val="28"/>
          <w:szCs w:val="28"/>
        </w:rPr>
        <w:t xml:space="preserve">Holiday Rental Management System — Build Plan for Review</w:t>
      </w:r>
    </w:p>
    <w:p>
      <w:pPr>
        <w:spacing w:after="80"/>
        <w:jc w:val="center"/>
      </w:pPr>
      <w:r>
        <w:rPr>
          <w:rFonts w:ascii="Calibri" w:cs="Calibri" w:eastAsia="Calibri" w:hAnsi="Calibri"/>
          <w:i/>
          <w:iCs/>
          <w:color w:val="595959"/>
          <w:sz w:val="22"/>
          <w:szCs w:val="22"/>
        </w:rPr>
        <w:t xml:space="preserve">Companion to the Functional &amp; Technical Specification v1.0</w:t>
      </w:r>
    </w:p>
    <w:p>
      <w:pPr>
        <w:spacing w:after="1400"/>
      </w:pPr>
    </w:p>
    <w:tbl>
      <w:tblPr>
        <w:tblW w:type="dxa" w:w="9026"/>
        <w:tblBorders>
          <w:top w:val="single" w:color="1F4E79" w:sz="4"/>
          <w:left w:val="single" w:color="1F4E79" w:sz="16"/>
          <w:bottom w:val="single" w:color="1F4E79" w:sz="4"/>
          <w:right w:val="single" w:color="1F4E79" w:sz="4"/>
          <w:insideH w:val="none"/>
          <w:insideV w:val="none"/>
        </w:tblBorders>
      </w:tblPr>
      <w:tblGrid>
        <w:gridCol w:w="9026"/>
      </w:tblGrid>
      <w:tr>
        <w:tc>
          <w:tcPr>
            <w:tcW w:type="dxa" w:w="9026"/>
            <w:shd w:fill="DCE6F1" w:val="clear"/>
            <w:tcMar>
              <w:top w:type="dxa" w:w="140"/>
              <w:left w:type="dxa" w:w="180"/>
              <w:bottom w:type="dxa" w:w="140"/>
              <w:right w:type="dxa" w:w="180"/>
            </w:tcMar>
          </w:tcPr>
          <w:p>
            <w:pPr>
              <w:spacing w:after="60"/>
            </w:pPr>
            <w:r>
              <w:rPr>
                <w:rFonts w:ascii="Calibri" w:cs="Calibri" w:eastAsia="Calibri" w:hAnsi="Calibri"/>
                <w:b/>
                <w:bCs/>
                <w:color w:val="1F4E79"/>
                <w:sz w:val="21"/>
                <w:szCs w:val="21"/>
              </w:rPr>
              <w:t xml:space="preserve">Status: for review — nothing built yet</w:t>
            </w:r>
          </w:p>
          <w:p>
            <w:pPr>
              <w:spacing w:after="0"/>
            </w:pPr>
            <w:r>
              <w:rPr>
                <w:rFonts w:ascii="Calibri" w:cs="Calibri" w:eastAsia="Calibri" w:hAnsi="Calibri"/>
                <w:sz w:val="20"/>
                <w:szCs w:val="20"/>
              </w:rPr>
              <w:t xml:space="preserve">This document turns the specification's roadmap into a concrete tech stack, database design, and a numbered backlog of individual, sequenced tasks. No code will be written until you review and approve the stack choices and the Phase 1 (core) task list below.</w:t>
            </w:r>
          </w:p>
        </w:tc>
      </w:tr>
    </w:tbl>
    <w:p>
      <w:pPr>
        <w:spacing w:after="400"/>
      </w:pPr>
    </w:p>
    <w:p>
      <w:pPr>
        <w:jc w:val="center"/>
      </w:pPr>
      <w:r>
        <w:rPr>
          <w:rFonts w:ascii="Calibri" w:cs="Calibri" w:eastAsia="Calibri" w:hAnsi="Calibri"/>
          <w:color w:val="808080"/>
          <w:sz w:val="20"/>
          <w:szCs w:val="20"/>
        </w:rPr>
        <w:t xml:space="preserve">Version 1.0  ·  1 August 2026</w:t>
      </w:r>
    </w:p>
    <w:p>
      <w:r>
        <w:br w:type="page"/>
      </w:r>
    </w:p>
    <w:p>
      <w:pPr>
        <w:pStyle w:val="Heading1"/>
        <w:spacing w:after="160" w:before="320"/>
      </w:pPr>
      <w:r>
        <w:rPr>
          <w:rFonts w:ascii="Calibri" w:cs="Calibri" w:eastAsia="Calibri" w:hAnsi="Calibri"/>
          <w:b/>
          <w:bCs/>
          <w:color w:val="1F4E79"/>
          <w:sz w:val="30"/>
          <w:szCs w:val="30"/>
        </w:rPr>
        <w:t xml:space="preserve">Contents</w:t>
      </w:r>
    </w:p>
    <w:p>
      <w:pPr>
        <w:spacing w:after="80" w:before="100"/>
        <w:ind w:left="200"/>
      </w:pPr>
      <w:r>
        <w:rPr>
          <w:rFonts w:ascii="Calibri" w:cs="Calibri" w:eastAsia="Calibri" w:hAnsi="Calibri"/>
          <w:b/>
          <w:bCs/>
          <w:color w:val="1F4E79"/>
          <w:sz w:val="21"/>
          <w:szCs w:val="21"/>
        </w:rPr>
        <w:t xml:space="preserve">1.  </w:t>
      </w:r>
      <w:r>
        <w:rPr>
          <w:rFonts w:ascii="Calibri" w:cs="Calibri" w:eastAsia="Calibri" w:hAnsi="Calibri"/>
          <w:b/>
          <w:bCs/>
          <w:color w:val="1F4E79"/>
          <w:sz w:val="21"/>
          <w:szCs w:val="21"/>
        </w:rPr>
        <w:t xml:space="preserve">How to Read This Plan</w:t>
      </w:r>
    </w:p>
    <w:p>
      <w:pPr>
        <w:spacing w:after="80" w:before="100"/>
        <w:ind w:left="200"/>
      </w:pPr>
      <w:r>
        <w:rPr>
          <w:rFonts w:ascii="Calibri" w:cs="Calibri" w:eastAsia="Calibri" w:hAnsi="Calibri"/>
          <w:b/>
          <w:bCs/>
          <w:color w:val="1F4E79"/>
          <w:sz w:val="21"/>
          <w:szCs w:val="21"/>
        </w:rPr>
        <w:t xml:space="preserve">2.  </w:t>
      </w:r>
      <w:r>
        <w:rPr>
          <w:rFonts w:ascii="Calibri" w:cs="Calibri" w:eastAsia="Calibri" w:hAnsi="Calibri"/>
          <w:b/>
          <w:bCs/>
          <w:color w:val="1F4E79"/>
          <w:sz w:val="21"/>
          <w:szCs w:val="21"/>
        </w:rPr>
        <w:t xml:space="preserve">Recommended Tech Stack</w:t>
      </w:r>
    </w:p>
    <w:p>
      <w:pPr>
        <w:spacing w:after="80" w:before="100"/>
        <w:ind w:left="200"/>
      </w:pPr>
      <w:r>
        <w:rPr>
          <w:rFonts w:ascii="Calibri" w:cs="Calibri" w:eastAsia="Calibri" w:hAnsi="Calibri"/>
          <w:b/>
          <w:bCs/>
          <w:color w:val="1F4E79"/>
          <w:sz w:val="21"/>
          <w:szCs w:val="21"/>
        </w:rPr>
        <w:t xml:space="preserve">3.  </w:t>
      </w:r>
      <w:r>
        <w:rPr>
          <w:rFonts w:ascii="Calibri" w:cs="Calibri" w:eastAsia="Calibri" w:hAnsi="Calibri"/>
          <w:b/>
          <w:bCs/>
          <w:color w:val="1F4E79"/>
          <w:sz w:val="21"/>
          <w:szCs w:val="21"/>
        </w:rPr>
        <w:t xml:space="preserve">Database Design</w:t>
      </w:r>
    </w:p>
    <w:p>
      <w:pPr>
        <w:spacing w:after="80" w:before="100"/>
        <w:ind w:left="200"/>
      </w:pPr>
      <w:r>
        <w:rPr>
          <w:rFonts w:ascii="Calibri" w:cs="Calibri" w:eastAsia="Calibri" w:hAnsi="Calibri"/>
          <w:b/>
          <w:bCs/>
          <w:color w:val="1F4E79"/>
          <w:sz w:val="21"/>
          <w:szCs w:val="21"/>
        </w:rPr>
        <w:t xml:space="preserve">4.  </w:t>
      </w:r>
      <w:r>
        <w:rPr>
          <w:rFonts w:ascii="Calibri" w:cs="Calibri" w:eastAsia="Calibri" w:hAnsi="Calibri"/>
          <w:b/>
          <w:bCs/>
          <w:color w:val="1F4E79"/>
          <w:sz w:val="21"/>
          <w:szCs w:val="21"/>
        </w:rPr>
        <w:t xml:space="preserve">One-Time Setup Tasks</w:t>
      </w:r>
    </w:p>
    <w:p>
      <w:pPr>
        <w:spacing w:after="80" w:before="100"/>
        <w:ind w:left="200"/>
      </w:pPr>
      <w:r>
        <w:rPr>
          <w:rFonts w:ascii="Calibri" w:cs="Calibri" w:eastAsia="Calibri" w:hAnsi="Calibri"/>
          <w:b/>
          <w:bCs/>
          <w:color w:val="1F4E79"/>
          <w:sz w:val="21"/>
          <w:szCs w:val="21"/>
        </w:rPr>
        <w:t xml:space="preserve">5.  </w:t>
      </w:r>
      <w:r>
        <w:rPr>
          <w:rFonts w:ascii="Calibri" w:cs="Calibri" w:eastAsia="Calibri" w:hAnsi="Calibri"/>
          <w:b/>
          <w:bCs/>
          <w:color w:val="1F4E79"/>
          <w:sz w:val="21"/>
          <w:szCs w:val="21"/>
        </w:rPr>
        <w:t xml:space="preserve">Phase 1 — Core System (build first)</w:t>
      </w:r>
    </w:p>
    <w:p>
      <w:pPr>
        <w:spacing w:after="80" w:before="100"/>
        <w:ind w:left="200"/>
      </w:pPr>
      <w:r>
        <w:rPr>
          <w:rFonts w:ascii="Calibri" w:cs="Calibri" w:eastAsia="Calibri" w:hAnsi="Calibri"/>
          <w:b/>
          <w:bCs/>
          <w:color w:val="1F4E79"/>
          <w:sz w:val="21"/>
          <w:szCs w:val="21"/>
        </w:rPr>
        <w:t xml:space="preserve">6.  </w:t>
      </w:r>
      <w:r>
        <w:rPr>
          <w:rFonts w:ascii="Calibri" w:cs="Calibri" w:eastAsia="Calibri" w:hAnsi="Calibri"/>
          <w:b/>
          <w:bCs/>
          <w:color w:val="1F4E79"/>
          <w:sz w:val="21"/>
          <w:szCs w:val="21"/>
        </w:rPr>
        <w:t xml:space="preserve">Phase 2 — Money &amp; Compliance</w:t>
      </w:r>
    </w:p>
    <w:p>
      <w:pPr>
        <w:spacing w:after="80" w:before="100"/>
        <w:ind w:left="200"/>
      </w:pPr>
      <w:r>
        <w:rPr>
          <w:rFonts w:ascii="Calibri" w:cs="Calibri" w:eastAsia="Calibri" w:hAnsi="Calibri"/>
          <w:b/>
          <w:bCs/>
          <w:color w:val="1F4E79"/>
          <w:sz w:val="21"/>
          <w:szCs w:val="21"/>
        </w:rPr>
        <w:t xml:space="preserve">7.  </w:t>
      </w:r>
      <w:r>
        <w:rPr>
          <w:rFonts w:ascii="Calibri" w:cs="Calibri" w:eastAsia="Calibri" w:hAnsi="Calibri"/>
          <w:b/>
          <w:bCs/>
          <w:color w:val="1F4E79"/>
          <w:sz w:val="21"/>
          <w:szCs w:val="21"/>
        </w:rPr>
        <w:t xml:space="preserve">Phase 3 — Operations</w:t>
      </w:r>
    </w:p>
    <w:p>
      <w:pPr>
        <w:spacing w:after="80" w:before="100"/>
        <w:ind w:left="200"/>
      </w:pPr>
      <w:r>
        <w:rPr>
          <w:rFonts w:ascii="Calibri" w:cs="Calibri" w:eastAsia="Calibri" w:hAnsi="Calibri"/>
          <w:b/>
          <w:bCs/>
          <w:color w:val="1F4E79"/>
          <w:sz w:val="21"/>
          <w:szCs w:val="21"/>
        </w:rPr>
        <w:t xml:space="preserve">8.  </w:t>
      </w:r>
      <w:r>
        <w:rPr>
          <w:rFonts w:ascii="Calibri" w:cs="Calibri" w:eastAsia="Calibri" w:hAnsi="Calibri"/>
          <w:b/>
          <w:bCs/>
          <w:color w:val="1F4E79"/>
          <w:sz w:val="21"/>
          <w:szCs w:val="21"/>
        </w:rPr>
        <w:t xml:space="preserve">Phase 4 — Optimisation (later, indicative only)</w:t>
      </w:r>
    </w:p>
    <w:p>
      <w:pPr>
        <w:spacing w:after="80" w:before="100"/>
        <w:ind w:left="200"/>
      </w:pPr>
      <w:r>
        <w:rPr>
          <w:rFonts w:ascii="Calibri" w:cs="Calibri" w:eastAsia="Calibri" w:hAnsi="Calibri"/>
          <w:b/>
          <w:bCs/>
          <w:color w:val="1F4E79"/>
          <w:sz w:val="21"/>
          <w:szCs w:val="21"/>
        </w:rPr>
        <w:t xml:space="preserve">9.  </w:t>
      </w:r>
      <w:r>
        <w:rPr>
          <w:rFonts w:ascii="Calibri" w:cs="Calibri" w:eastAsia="Calibri" w:hAnsi="Calibri"/>
          <w:b/>
          <w:bCs/>
          <w:color w:val="1F4E79"/>
          <w:sz w:val="21"/>
          <w:szCs w:val="21"/>
        </w:rPr>
        <w:t xml:space="preserve">Effort Summary</w:t>
      </w:r>
    </w:p>
    <w:p>
      <w:pPr>
        <w:spacing w:after="80" w:before="100"/>
        <w:ind w:left="200"/>
      </w:pPr>
      <w:r>
        <w:rPr>
          <w:rFonts w:ascii="Calibri" w:cs="Calibri" w:eastAsia="Calibri" w:hAnsi="Calibri"/>
          <w:b/>
          <w:bCs/>
          <w:color w:val="1F4E79"/>
          <w:sz w:val="21"/>
          <w:szCs w:val="21"/>
        </w:rPr>
        <w:t xml:space="preserve">10.  </w:t>
      </w:r>
      <w:r>
        <w:rPr>
          <w:rFonts w:ascii="Calibri" w:cs="Calibri" w:eastAsia="Calibri" w:hAnsi="Calibri"/>
          <w:b/>
          <w:bCs/>
          <w:color w:val="1F4E79"/>
          <w:sz w:val="21"/>
          <w:szCs w:val="21"/>
        </w:rPr>
        <w:t xml:space="preserve">Open Decisions Before Starting</w:t>
      </w:r>
    </w:p>
    <w:p>
      <w:r>
        <w:br w:type="page"/>
      </w:r>
    </w:p>
    <w:p>
      <w:pPr>
        <w:pStyle w:val="Heading1"/>
        <w:spacing w:after="160" w:before="320"/>
      </w:pPr>
      <w:r>
        <w:rPr>
          <w:rFonts w:ascii="Calibri" w:cs="Calibri" w:eastAsia="Calibri" w:hAnsi="Calibri"/>
          <w:b/>
          <w:bCs/>
          <w:color w:val="1F4E79"/>
          <w:sz w:val="30"/>
          <w:szCs w:val="30"/>
        </w:rPr>
        <w:t xml:space="preserve">1. How to Read This Plan</w:t>
      </w:r>
    </w:p>
    <w:p>
      <w:pPr>
        <w:spacing w:after="120" w:line="276"/>
      </w:pPr>
      <w:r>
        <w:rPr>
          <w:rFonts w:ascii="Calibri" w:cs="Calibri" w:eastAsia="Calibri" w:hAnsi="Calibri"/>
          <w:sz w:val="21"/>
          <w:szCs w:val="21"/>
        </w:rPr>
        <w:t xml:space="preserve">Each task below is meant to be a single unit of work — small enough to build, test and review on its own, in the order listed. Tasks are grouped into the same four phases as the specification's roadmap, and within each phase they are ordered so that nothing depends on something later in the list.</w:t>
      </w:r>
    </w:p>
    <w:p>
      <w:pPr>
        <w:spacing w:after="120" w:line="276"/>
      </w:pPr>
      <w:r>
        <w:rPr>
          <w:rFonts w:ascii="Calibri" w:cs="Calibri" w:eastAsia="Calibri" w:hAnsi="Calibri"/>
          <w:sz w:val="21"/>
          <w:szCs w:val="21"/>
        </w:rPr>
        <w:t xml:space="preserve">Effort is a rough size, not a quote: S = roughly 0.5–1.5 days, M = roughly 2–4 days, L = roughly 5+ days, for one experienced full-stack developer working alone. Treat the phase totals in section 9 as planning ranges.</w:t>
      </w:r>
    </w:p>
    <w:p>
      <w:pPr>
        <w:spacing w:after="120" w:line="276"/>
      </w:pPr>
      <w:r>
        <w:rPr>
          <w:rFonts w:ascii="Calibri" w:cs="Calibri" w:eastAsia="Calibri" w:hAnsi="Calibri"/>
          <w:sz w:val="21"/>
          <w:szCs w:val="21"/>
        </w:rPr>
        <w:t xml:space="preserve">"Core" means Phase 1 specifically — the smallest set of tasks that gets you off spreadsheets and onto one system for properties, documents, guests and the booking calendar. Phases 2–4 build on top of it and can be reprioritised once Phase 1 is in use.</w:t>
      </w:r>
    </w:p>
    <w:tbl>
      <w:tblPr>
        <w:tblW w:type="dxa" w:w="9026"/>
        <w:tblBorders>
          <w:top w:val="single" w:color="8A6D00" w:sz="4"/>
          <w:left w:val="single" w:color="8A6D00" w:sz="16"/>
          <w:bottom w:val="single" w:color="8A6D00" w:sz="4"/>
          <w:right w:val="single" w:color="8A6D00" w:sz="4"/>
          <w:insideH w:val="none"/>
          <w:insideV w:val="none"/>
        </w:tblBorders>
      </w:tblPr>
      <w:tblGrid>
        <w:gridCol w:w="9026"/>
      </w:tblGrid>
      <w:tr>
        <w:tc>
          <w:tcPr>
            <w:tcW w:type="dxa" w:w="9026"/>
            <w:shd w:fill="FCE4B0" w:val="clear"/>
            <w:tcMar>
              <w:top w:type="dxa" w:w="140"/>
              <w:left w:type="dxa" w:w="180"/>
              <w:bottom w:type="dxa" w:w="140"/>
              <w:right w:type="dxa" w:w="180"/>
            </w:tcMar>
          </w:tcPr>
          <w:p>
            <w:pPr>
              <w:spacing w:after="60"/>
            </w:pPr>
            <w:r>
              <w:rPr>
                <w:rFonts w:ascii="Calibri" w:cs="Calibri" w:eastAsia="Calibri" w:hAnsi="Calibri"/>
                <w:b/>
                <w:bCs/>
                <w:color w:val="8A6D00"/>
                <w:sz w:val="21"/>
                <w:szCs w:val="21"/>
              </w:rPr>
              <w:t xml:space="preserve">What this plan does not cover yet</w:t>
            </w:r>
          </w:p>
          <w:p>
            <w:pPr>
              <w:spacing w:after="0"/>
            </w:pPr>
            <w:r>
              <w:rPr>
                <w:rFonts w:ascii="Calibri" w:cs="Calibri" w:eastAsia="Calibri" w:hAnsi="Calibri"/>
                <w:sz w:val="20"/>
                <w:szCs w:val="20"/>
              </w:rPr>
              <w:t xml:space="preserve">Acceptance criteria, UI wireframes and API contracts for each task are the next layer of detail, produced once you approve the stack and the Phase 1 list. Producing all of that now, before you've confirmed direction, would mean redoing it if the stack or scope changes here.</w:t>
            </w:r>
          </w:p>
        </w:tc>
      </w:tr>
    </w:tbl>
    <w:p>
      <w:r>
        <w:br w:type="page"/>
      </w:r>
    </w:p>
    <w:p>
      <w:pPr>
        <w:pStyle w:val="Heading1"/>
        <w:spacing w:after="160" w:before="320"/>
      </w:pPr>
      <w:r>
        <w:rPr>
          <w:rFonts w:ascii="Calibri" w:cs="Calibri" w:eastAsia="Calibri" w:hAnsi="Calibri"/>
          <w:b/>
          <w:bCs/>
          <w:color w:val="1F4E79"/>
          <w:sz w:val="30"/>
          <w:szCs w:val="30"/>
        </w:rPr>
        <w:t xml:space="preserve">2. Recommended Tech Stack</w:t>
      </w:r>
    </w:p>
    <w:p>
      <w:pPr>
        <w:spacing w:after="120" w:line="276"/>
      </w:pPr>
      <w:r>
        <w:rPr>
          <w:rFonts w:ascii="Calibri" w:cs="Calibri" w:eastAsia="Calibri" w:hAnsi="Calibri"/>
          <w:sz w:val="21"/>
          <w:szCs w:val="21"/>
        </w:rPr>
        <w:t xml:space="preserve">This firms up the specification's section 6.1 into specific products, chosen for a single operator running up to about 20 units with a handful of staff — not for a platform that needs to scale to many customers.</w:t>
      </w:r>
    </w:p>
    <w:p>
      <w:pPr>
        <w:pStyle w:val="Heading2"/>
        <w:spacing w:after="120" w:before="240"/>
      </w:pPr>
      <w:r>
        <w:rPr>
          <w:rFonts w:ascii="Calibri" w:cs="Calibri" w:eastAsia="Calibri" w:hAnsi="Calibri"/>
          <w:b/>
          <w:bCs/>
          <w:color w:val="1F4E79"/>
          <w:sz w:val="24"/>
          <w:szCs w:val="24"/>
        </w:rPr>
        <w:t xml:space="preserve">2.1 Core stack</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2000"/>
        <w:gridCol w:w="3200"/>
        <w:gridCol w:w="3826"/>
      </w:tblGrid>
      <w:tr>
        <w:trPr>
          <w:tblHeader/>
        </w:trPr>
        <w:tc>
          <w:tcPr>
            <w:tcW w:type="dxa" w:w="20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Layer</w:t>
            </w:r>
          </w:p>
        </w:tc>
        <w:tc>
          <w:tcPr>
            <w:tcW w:type="dxa" w:w="32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Choice</w:t>
            </w:r>
          </w:p>
        </w:tc>
        <w:tc>
          <w:tcPr>
            <w:tcW w:type="dxa" w:w="38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Why</w:t>
            </w:r>
          </w:p>
        </w:tc>
      </w:tr>
      <w:tr>
        <w:tc>
          <w:tcPr>
            <w:tcW w:type="dxa" w:w="2000"/>
            <w:tcMar>
              <w:top w:type="dxa" w:w="80"/>
              <w:left w:type="dxa" w:w="120"/>
              <w:bottom w:type="dxa" w:w="80"/>
              <w:right w:type="dxa" w:w="120"/>
            </w:tcMar>
          </w:tcPr>
          <w:p>
            <w:pPr>
              <w:spacing w:after="0" w:line="246"/>
            </w:pPr>
            <w:r>
              <w:rPr>
                <w:rFonts w:ascii="Calibri" w:cs="Calibri" w:eastAsia="Calibri" w:hAnsi="Calibri"/>
                <w:sz w:val="18"/>
                <w:szCs w:val="18"/>
              </w:rPr>
              <w:t xml:space="preserve">Frontend &amp; backend</w:t>
            </w:r>
          </w:p>
        </w:tc>
        <w:tc>
          <w:tcPr>
            <w:tcW w:type="dxa" w:w="3200"/>
            <w:tcMar>
              <w:top w:type="dxa" w:w="80"/>
              <w:left w:type="dxa" w:w="120"/>
              <w:bottom w:type="dxa" w:w="80"/>
              <w:right w:type="dxa" w:w="120"/>
            </w:tcMar>
          </w:tcPr>
          <w:p>
            <w:pPr>
              <w:spacing w:after="0" w:line="246"/>
            </w:pPr>
            <w:r>
              <w:rPr>
                <w:rFonts w:ascii="Calibri" w:cs="Calibri" w:eastAsia="Calibri" w:hAnsi="Calibri"/>
                <w:sz w:val="18"/>
                <w:szCs w:val="18"/>
              </w:rPr>
              <w:t xml:space="preserve">Next.js 14+ (TypeScript, App Router)</w:t>
            </w:r>
          </w:p>
        </w:tc>
        <w:tc>
          <w:tcPr>
            <w:tcW w:type="dxa" w:w="3826"/>
            <w:tcMar>
              <w:top w:type="dxa" w:w="80"/>
              <w:left w:type="dxa" w:w="120"/>
              <w:bottom w:type="dxa" w:w="80"/>
              <w:right w:type="dxa" w:w="120"/>
            </w:tcMar>
          </w:tcPr>
          <w:p>
            <w:pPr>
              <w:spacing w:after="0" w:line="246"/>
            </w:pPr>
            <w:r>
              <w:rPr>
                <w:rFonts w:ascii="Calibri" w:cs="Calibri" w:eastAsia="Calibri" w:hAnsi="Calibri"/>
                <w:sz w:val="18"/>
                <w:szCs w:val="18"/>
              </w:rPr>
              <w:t xml:space="preserve">One codebase, one deployment, server-rendered pages for fast calendar and dashboard loads, large hiring pool if you ever need another developer.</w:t>
            </w:r>
          </w:p>
        </w:tc>
      </w:tr>
      <w:tr>
        <w:tc>
          <w:tcPr>
            <w:tcW w:type="dxa" w:w="20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Database</w:t>
            </w:r>
          </w:p>
        </w:tc>
        <w:tc>
          <w:tcPr>
            <w:tcW w:type="dxa" w:w="32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PostgreSQL</w:t>
            </w:r>
          </w:p>
        </w:tc>
        <w:tc>
          <w:tcPr>
            <w:tcW w:type="dxa" w:w="38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Handles date-range overlap checks natively, which is the mechanism that makes double-booking structurally impossible rather than just checked in application code.</w:t>
            </w:r>
          </w:p>
        </w:tc>
      </w:tr>
      <w:tr>
        <w:tc>
          <w:tcPr>
            <w:tcW w:type="dxa" w:w="2000"/>
            <w:tcMar>
              <w:top w:type="dxa" w:w="80"/>
              <w:left w:type="dxa" w:w="120"/>
              <w:bottom w:type="dxa" w:w="80"/>
              <w:right w:type="dxa" w:w="120"/>
            </w:tcMar>
          </w:tcPr>
          <w:p>
            <w:pPr>
              <w:spacing w:after="0" w:line="246"/>
            </w:pPr>
            <w:r>
              <w:rPr>
                <w:rFonts w:ascii="Calibri" w:cs="Calibri" w:eastAsia="Calibri" w:hAnsi="Calibri"/>
                <w:sz w:val="18"/>
                <w:szCs w:val="18"/>
              </w:rPr>
              <w:t xml:space="preserve">Backend platform</w:t>
            </w:r>
          </w:p>
        </w:tc>
        <w:tc>
          <w:tcPr>
            <w:tcW w:type="dxa" w:w="3200"/>
            <w:tcMar>
              <w:top w:type="dxa" w:w="80"/>
              <w:left w:type="dxa" w:w="120"/>
              <w:bottom w:type="dxa" w:w="80"/>
              <w:right w:type="dxa" w:w="120"/>
            </w:tcMar>
          </w:tcPr>
          <w:p>
            <w:pPr>
              <w:spacing w:after="0" w:line="246"/>
            </w:pPr>
            <w:r>
              <w:rPr>
                <w:rFonts w:ascii="Calibri" w:cs="Calibri" w:eastAsia="Calibri" w:hAnsi="Calibri"/>
                <w:sz w:val="18"/>
                <w:szCs w:val="18"/>
              </w:rPr>
              <w:t xml:space="preserve">Supabase (managed Postgres + Auth + Storage + Row-Level Security)</w:t>
            </w:r>
          </w:p>
        </w:tc>
        <w:tc>
          <w:tcPr>
            <w:tcW w:type="dxa" w:w="3826"/>
            <w:tcMar>
              <w:top w:type="dxa" w:w="80"/>
              <w:left w:type="dxa" w:w="120"/>
              <w:bottom w:type="dxa" w:w="80"/>
              <w:right w:type="dxa" w:w="120"/>
            </w:tcMar>
          </w:tcPr>
          <w:p>
            <w:pPr>
              <w:spacing w:after="0" w:line="246"/>
            </w:pPr>
            <w:r>
              <w:rPr>
                <w:rFonts w:ascii="Calibri" w:cs="Calibri" w:eastAsia="Calibri" w:hAnsi="Calibri"/>
                <w:sz w:val="18"/>
                <w:szCs w:val="18"/>
              </w:rPr>
              <w:t xml:space="preserve">Bundles the database, login, file storage and per-role data access into one managed service. For a solo-operator build this removes weeks of infrastructure work versus assembling the equivalent from separate providers.</w:t>
            </w:r>
          </w:p>
        </w:tc>
      </w:tr>
      <w:tr>
        <w:tc>
          <w:tcPr>
            <w:tcW w:type="dxa" w:w="20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Schema &amp; migrations</w:t>
            </w:r>
          </w:p>
        </w:tc>
        <w:tc>
          <w:tcPr>
            <w:tcW w:type="dxa" w:w="32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Prisma</w:t>
            </w:r>
          </w:p>
        </w:tc>
        <w:tc>
          <w:tcPr>
            <w:tcW w:type="dxa" w:w="38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Keeps the database schema as version-controlled TypeScript, generates typed queries, and produces reviewable migration files — works alongside Supabase's own Postgres instance.</w:t>
            </w:r>
          </w:p>
        </w:tc>
      </w:tr>
      <w:tr>
        <w:tc>
          <w:tcPr>
            <w:tcW w:type="dxa" w:w="2000"/>
            <w:tcMar>
              <w:top w:type="dxa" w:w="80"/>
              <w:left w:type="dxa" w:w="120"/>
              <w:bottom w:type="dxa" w:w="80"/>
              <w:right w:type="dxa" w:w="120"/>
            </w:tcMar>
          </w:tcPr>
          <w:p>
            <w:pPr>
              <w:spacing w:after="0" w:line="246"/>
            </w:pPr>
            <w:r>
              <w:rPr>
                <w:rFonts w:ascii="Calibri" w:cs="Calibri" w:eastAsia="Calibri" w:hAnsi="Calibri"/>
                <w:sz w:val="18"/>
                <w:szCs w:val="18"/>
              </w:rPr>
              <w:t xml:space="preserve">Hosting</w:t>
            </w:r>
          </w:p>
        </w:tc>
        <w:tc>
          <w:tcPr>
            <w:tcW w:type="dxa" w:w="3200"/>
            <w:tcMar>
              <w:top w:type="dxa" w:w="80"/>
              <w:left w:type="dxa" w:w="120"/>
              <w:bottom w:type="dxa" w:w="80"/>
              <w:right w:type="dxa" w:w="120"/>
            </w:tcMar>
          </w:tcPr>
          <w:p>
            <w:pPr>
              <w:spacing w:after="0" w:line="246"/>
            </w:pPr>
            <w:r>
              <w:rPr>
                <w:rFonts w:ascii="Calibri" w:cs="Calibri" w:eastAsia="Calibri" w:hAnsi="Calibri"/>
                <w:sz w:val="18"/>
                <w:szCs w:val="18"/>
              </w:rPr>
              <w:t xml:space="preserve">Vercel</w:t>
            </w:r>
          </w:p>
        </w:tc>
        <w:tc>
          <w:tcPr>
            <w:tcW w:type="dxa" w:w="3826"/>
            <w:tcMar>
              <w:top w:type="dxa" w:w="80"/>
              <w:left w:type="dxa" w:w="120"/>
              <w:bottom w:type="dxa" w:w="80"/>
              <w:right w:type="dxa" w:w="120"/>
            </w:tcMar>
          </w:tcPr>
          <w:p>
            <w:pPr>
              <w:spacing w:after="0" w:line="246"/>
            </w:pPr>
            <w:r>
              <w:rPr>
                <w:rFonts w:ascii="Calibri" w:cs="Calibri" w:eastAsia="Calibri" w:hAnsi="Calibri"/>
                <w:sz w:val="18"/>
                <w:szCs w:val="18"/>
              </w:rPr>
              <w:t xml:space="preserve">Native fit for Next.js; automatic preview deployments per change, simple environment management.</w:t>
            </w:r>
          </w:p>
        </w:tc>
      </w:tr>
      <w:tr>
        <w:tc>
          <w:tcPr>
            <w:tcW w:type="dxa" w:w="20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File storage</w:t>
            </w:r>
          </w:p>
        </w:tc>
        <w:tc>
          <w:tcPr>
            <w:tcW w:type="dxa" w:w="32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Supabase Storage, two buckets: `property-media` (public-ish, cacheable) and `identity-documents` (private, signed URLs only)</w:t>
            </w:r>
          </w:p>
        </w:tc>
        <w:tc>
          <w:tcPr>
            <w:tcW w:type="dxa" w:w="38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Physically separating passport/ID scans from ordinary photos makes the access-control difference impossible to get wrong by accident.</w:t>
            </w:r>
          </w:p>
        </w:tc>
      </w:tr>
      <w:tr>
        <w:tc>
          <w:tcPr>
            <w:tcW w:type="dxa" w:w="2000"/>
            <w:tcMar>
              <w:top w:type="dxa" w:w="80"/>
              <w:left w:type="dxa" w:w="120"/>
              <w:bottom w:type="dxa" w:w="80"/>
              <w:right w:type="dxa" w:w="120"/>
            </w:tcMar>
          </w:tcPr>
          <w:p>
            <w:pPr>
              <w:spacing w:after="0" w:line="246"/>
            </w:pPr>
            <w:r>
              <w:rPr>
                <w:rFonts w:ascii="Calibri" w:cs="Calibri" w:eastAsia="Calibri" w:hAnsi="Calibri"/>
                <w:sz w:val="18"/>
                <w:szCs w:val="18"/>
              </w:rPr>
              <w:t xml:space="preserve">Payments</w:t>
            </w:r>
          </w:p>
        </w:tc>
        <w:tc>
          <w:tcPr>
            <w:tcW w:type="dxa" w:w="3200"/>
            <w:tcMar>
              <w:top w:type="dxa" w:w="80"/>
              <w:left w:type="dxa" w:w="120"/>
              <w:bottom w:type="dxa" w:w="80"/>
              <w:right w:type="dxa" w:w="120"/>
            </w:tcMar>
          </w:tcPr>
          <w:p>
            <w:pPr>
              <w:spacing w:after="0" w:line="246"/>
            </w:pPr>
            <w:r>
              <w:rPr>
                <w:rFonts w:ascii="Calibri" w:cs="Calibri" w:eastAsia="Calibri" w:hAnsi="Calibri"/>
                <w:sz w:val="18"/>
                <w:szCs w:val="18"/>
              </w:rPr>
              <w:t xml:space="preserve">Stripe to start; evaluate Telr or Network International for AED settlement economics before Phase 2 payment work begins</w:t>
            </w:r>
          </w:p>
        </w:tc>
        <w:tc>
          <w:tcPr>
            <w:tcW w:type="dxa" w:w="3826"/>
            <w:tcMar>
              <w:top w:type="dxa" w:w="80"/>
              <w:left w:type="dxa" w:w="120"/>
              <w:bottom w:type="dxa" w:w="80"/>
              <w:right w:type="dxa" w:w="120"/>
            </w:tcMar>
          </w:tcPr>
          <w:p>
            <w:pPr>
              <w:spacing w:after="0" w:line="246"/>
            </w:pPr>
            <w:r>
              <w:rPr>
                <w:rFonts w:ascii="Calibri" w:cs="Calibri" w:eastAsia="Calibri" w:hAnsi="Calibri"/>
                <w:sz w:val="18"/>
                <w:szCs w:val="18"/>
              </w:rPr>
              <w:t xml:space="preserve">Stripe is the fastest to integrate and well documented; a UAE-local gateway may reduce card fees and settlement time — worth a short comparison before committing.</w:t>
            </w:r>
          </w:p>
        </w:tc>
      </w:tr>
      <w:tr>
        <w:tc>
          <w:tcPr>
            <w:tcW w:type="dxa" w:w="20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Email</w:t>
            </w:r>
          </w:p>
        </w:tc>
        <w:tc>
          <w:tcPr>
            <w:tcW w:type="dxa" w:w="32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Resend</w:t>
            </w:r>
          </w:p>
        </w:tc>
        <w:tc>
          <w:tcPr>
            <w:tcW w:type="dxa" w:w="38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Modern deliverability-focused provider with a clean API for transactional email (booking confirmations, receipts, deadline alerts).</w:t>
            </w:r>
          </w:p>
        </w:tc>
      </w:tr>
      <w:tr>
        <w:tc>
          <w:tcPr>
            <w:tcW w:type="dxa" w:w="2000"/>
            <w:tcMar>
              <w:top w:type="dxa" w:w="80"/>
              <w:left w:type="dxa" w:w="120"/>
              <w:bottom w:type="dxa" w:w="80"/>
              <w:right w:type="dxa" w:w="120"/>
            </w:tcMar>
          </w:tcPr>
          <w:p>
            <w:pPr>
              <w:spacing w:after="0" w:line="246"/>
            </w:pPr>
            <w:r>
              <w:rPr>
                <w:rFonts w:ascii="Calibri" w:cs="Calibri" w:eastAsia="Calibri" w:hAnsi="Calibri"/>
                <w:sz w:val="18"/>
                <w:szCs w:val="18"/>
              </w:rPr>
              <w:t xml:space="preserve">WhatsApp messaging</w:t>
            </w:r>
          </w:p>
        </w:tc>
        <w:tc>
          <w:tcPr>
            <w:tcW w:type="dxa" w:w="3200"/>
            <w:tcMar>
              <w:top w:type="dxa" w:w="80"/>
              <w:left w:type="dxa" w:w="120"/>
              <w:bottom w:type="dxa" w:w="80"/>
              <w:right w:type="dxa" w:w="120"/>
            </w:tcMar>
          </w:tcPr>
          <w:p>
            <w:pPr>
              <w:spacing w:after="0" w:line="246"/>
            </w:pPr>
            <w:r>
              <w:rPr>
                <w:rFonts w:ascii="Calibri" w:cs="Calibri" w:eastAsia="Calibri" w:hAnsi="Calibri"/>
                <w:sz w:val="18"/>
                <w:szCs w:val="18"/>
              </w:rPr>
              <w:t xml:space="preserve">Meta WhatsApp Cloud API (direct) or Twilio as a wrapper</w:t>
            </w:r>
          </w:p>
        </w:tc>
        <w:tc>
          <w:tcPr>
            <w:tcW w:type="dxa" w:w="3826"/>
            <w:tcMar>
              <w:top w:type="dxa" w:w="80"/>
              <w:left w:type="dxa" w:w="120"/>
              <w:bottom w:type="dxa" w:w="80"/>
              <w:right w:type="dxa" w:w="120"/>
            </w:tcMar>
          </w:tcPr>
          <w:p>
            <w:pPr>
              <w:spacing w:after="0" w:line="246"/>
            </w:pPr>
            <w:r>
              <w:rPr>
                <w:rFonts w:ascii="Calibri" w:cs="Calibri" w:eastAsia="Calibri" w:hAnsi="Calibri"/>
                <w:sz w:val="18"/>
                <w:szCs w:val="18"/>
              </w:rPr>
              <w:t xml:space="preserve">WhatsApp is the practical channel for guests and cleaners in the UAE. Direct Cloud API is cheaper long-term; Twilio is faster to integrate first.</w:t>
            </w:r>
          </w:p>
        </w:tc>
      </w:tr>
      <w:tr>
        <w:tc>
          <w:tcPr>
            <w:tcW w:type="dxa" w:w="20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Scheduled jobs</w:t>
            </w:r>
          </w:p>
        </w:tc>
        <w:tc>
          <w:tcPr>
            <w:tcW w:type="dxa" w:w="32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Vercel Cron for simple schedules, or Inngest if job logic gets complex (retries, fan-out)</w:t>
            </w:r>
          </w:p>
        </w:tc>
        <w:tc>
          <w:tcPr>
            <w:tcW w:type="dxa" w:w="38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Drives the expiry alerts, DET deadline countdowns and recurring maintenance generation described in the spec — these are time-based, not user-triggered.</w:t>
            </w:r>
          </w:p>
        </w:tc>
      </w:tr>
      <w:tr>
        <w:tc>
          <w:tcPr>
            <w:tcW w:type="dxa" w:w="2000"/>
            <w:tcMar>
              <w:top w:type="dxa" w:w="80"/>
              <w:left w:type="dxa" w:w="120"/>
              <w:bottom w:type="dxa" w:w="80"/>
              <w:right w:type="dxa" w:w="120"/>
            </w:tcMar>
          </w:tcPr>
          <w:p>
            <w:pPr>
              <w:spacing w:after="0" w:line="246"/>
            </w:pPr>
            <w:r>
              <w:rPr>
                <w:rFonts w:ascii="Calibri" w:cs="Calibri" w:eastAsia="Calibri" w:hAnsi="Calibri"/>
                <w:sz w:val="18"/>
                <w:szCs w:val="18"/>
              </w:rPr>
              <w:t xml:space="preserve">Monitoring</w:t>
            </w:r>
          </w:p>
        </w:tc>
        <w:tc>
          <w:tcPr>
            <w:tcW w:type="dxa" w:w="3200"/>
            <w:tcMar>
              <w:top w:type="dxa" w:w="80"/>
              <w:left w:type="dxa" w:w="120"/>
              <w:bottom w:type="dxa" w:w="80"/>
              <w:right w:type="dxa" w:w="120"/>
            </w:tcMar>
          </w:tcPr>
          <w:p>
            <w:pPr>
              <w:spacing w:after="0" w:line="246"/>
            </w:pPr>
            <w:r>
              <w:rPr>
                <w:rFonts w:ascii="Calibri" w:cs="Calibri" w:eastAsia="Calibri" w:hAnsi="Calibri"/>
                <w:sz w:val="18"/>
                <w:szCs w:val="18"/>
              </w:rPr>
              <w:t xml:space="preserve">Sentry (errors) + a simple uptime checker (e.g. Better Uptime)</w:t>
            </w:r>
          </w:p>
        </w:tc>
        <w:tc>
          <w:tcPr>
            <w:tcW w:type="dxa" w:w="3826"/>
            <w:tcMar>
              <w:top w:type="dxa" w:w="80"/>
              <w:left w:type="dxa" w:w="120"/>
              <w:bottom w:type="dxa" w:w="80"/>
              <w:right w:type="dxa" w:w="120"/>
            </w:tcMar>
          </w:tcPr>
          <w:p>
            <w:pPr>
              <w:spacing w:after="0" w:line="246"/>
            </w:pPr>
            <w:r>
              <w:rPr>
                <w:rFonts w:ascii="Calibri" w:cs="Calibri" w:eastAsia="Calibri" w:hAnsi="Calibri"/>
                <w:sz w:val="18"/>
                <w:szCs w:val="18"/>
              </w:rPr>
              <w:t xml:space="preserve">A booking system that fails silently loses bookings; both are quick to wire in and pay for themselves the first time something breaks unnoticed.</w:t>
            </w:r>
          </w:p>
        </w:tc>
      </w:tr>
    </w:tbl>
    <w:p>
      <w:pPr>
        <w:pStyle w:val="Heading2"/>
        <w:spacing w:after="120" w:before="240"/>
      </w:pPr>
      <w:r>
        <w:rPr>
          <w:rFonts w:ascii="Calibri" w:cs="Calibri" w:eastAsia="Calibri" w:hAnsi="Calibri"/>
          <w:b/>
          <w:bCs/>
          <w:color w:val="1F4E79"/>
          <w:sz w:val="24"/>
          <w:szCs w:val="24"/>
        </w:rPr>
        <w:t xml:space="preserve">2.2 Why Supabase specifically</w:t>
      </w:r>
    </w:p>
    <w:p>
      <w:pPr>
        <w:spacing w:after="120" w:line="276"/>
      </w:pPr>
      <w:r>
        <w:rPr>
          <w:rFonts w:ascii="Calibri" w:cs="Calibri" w:eastAsia="Calibri" w:hAnsi="Calibri"/>
          <w:sz w:val="21"/>
          <w:szCs w:val="21"/>
        </w:rPr>
        <w:t xml:space="preserve">The specification named authentication, storage and database as three separate concerns. For a portfolio this size, running them as three separate vendor relationships is overhead without a matching benefit. Supabase is a managed Postgres platform that includes:</w:t>
      </w:r>
    </w:p>
    <w:p>
      <w:pPr>
        <w:pStyle w:val="ListParagraph"/>
        <w:numPr>
          <w:ilvl w:val="0"/>
          <w:numId w:val="2"/>
        </w:numPr>
        <w:spacing w:after="60" w:line="276"/>
      </w:pPr>
      <w:r>
        <w:rPr>
          <w:rFonts w:ascii="Calibri" w:cs="Calibri" w:eastAsia="Calibri" w:hAnsi="Calibri"/>
          <w:sz w:val="21"/>
          <w:szCs w:val="21"/>
        </w:rPr>
        <w:t xml:space="preserve">Row-Level Security policies enforced at the database layer — a cleaner's login literally cannot query guest passport data, regardless of what the frontend does or a future bug allows.</w:t>
      </w:r>
    </w:p>
    <w:p>
      <w:pPr>
        <w:pStyle w:val="ListParagraph"/>
        <w:numPr>
          <w:ilvl w:val="0"/>
          <w:numId w:val="2"/>
        </w:numPr>
        <w:spacing w:after="60" w:line="276"/>
      </w:pPr>
      <w:r>
        <w:rPr>
          <w:rFonts w:ascii="Calibri" w:cs="Calibri" w:eastAsia="Calibri" w:hAnsi="Calibri"/>
          <w:sz w:val="21"/>
          <w:szCs w:val="21"/>
        </w:rPr>
        <w:t xml:space="preserve">Built-in authentication with roles, so Phase 1's role-based access (owner, manager, finance, housekeeping, maintenance, read-only) is configuration, not custom-built infrastructure.</w:t>
      </w:r>
    </w:p>
    <w:p>
      <w:pPr>
        <w:pStyle w:val="ListParagraph"/>
        <w:numPr>
          <w:ilvl w:val="0"/>
          <w:numId w:val="2"/>
        </w:numPr>
        <w:spacing w:after="60" w:line="276"/>
      </w:pPr>
      <w:r>
        <w:rPr>
          <w:rFonts w:ascii="Calibri" w:cs="Calibri" w:eastAsia="Calibri" w:hAnsi="Calibri"/>
          <w:sz w:val="21"/>
          <w:szCs w:val="21"/>
        </w:rPr>
        <w:t xml:space="preserve">Storage buckets with the same policy model as the database, which is what makes the identity-document separation enforceable rather than just a naming convention.</w:t>
      </w:r>
    </w:p>
    <w:p>
      <w:pPr>
        <w:spacing w:after="120" w:line="276"/>
      </w:pPr>
      <w:r>
        <w:rPr>
          <w:rFonts w:ascii="Calibri" w:cs="Calibri" w:eastAsia="Calibri" w:hAnsi="Calibri"/>
          <w:sz w:val="21"/>
          <w:szCs w:val="21"/>
        </w:rPr>
        <w:t xml:space="preserve">The trade-off is a degree of vendor dependency. The data itself stays portable — it is standard Postgres underneath, exportable at any time — so the risk is mainly migration effort, not data lock-in.</w:t>
      </w:r>
    </w:p>
    <w:p>
      <w:pPr>
        <w:pStyle w:val="Heading2"/>
        <w:spacing w:after="120" w:before="240"/>
      </w:pPr>
      <w:r>
        <w:rPr>
          <w:rFonts w:ascii="Calibri" w:cs="Calibri" w:eastAsia="Calibri" w:hAnsi="Calibri"/>
          <w:b/>
          <w:bCs/>
          <w:color w:val="1F4E79"/>
          <w:sz w:val="24"/>
          <w:szCs w:val="24"/>
        </w:rPr>
        <w:t xml:space="preserve">2.3 Stack summary diagram</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4000"/>
        <w:gridCol w:w="5026"/>
      </w:tblGrid>
      <w:tr>
        <w:trPr>
          <w:tblHeader/>
        </w:trPr>
        <w:tc>
          <w:tcPr>
            <w:tcW w:type="dxa" w:w="40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Concern</w:t>
            </w:r>
          </w:p>
        </w:tc>
        <w:tc>
          <w:tcPr>
            <w:tcW w:type="dxa" w:w="50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Product</w:t>
            </w:r>
          </w:p>
        </w:tc>
      </w:tr>
      <w:tr>
        <w:tc>
          <w:tcPr>
            <w:tcW w:type="dxa" w:w="4000"/>
            <w:tcMar>
              <w:top w:type="dxa" w:w="80"/>
              <w:left w:type="dxa" w:w="120"/>
              <w:bottom w:type="dxa" w:w="80"/>
              <w:right w:type="dxa" w:w="120"/>
            </w:tcMar>
          </w:tcPr>
          <w:p>
            <w:pPr>
              <w:spacing w:after="0" w:line="246"/>
            </w:pPr>
            <w:r>
              <w:rPr>
                <w:rFonts w:ascii="Calibri" w:cs="Calibri" w:eastAsia="Calibri" w:hAnsi="Calibri"/>
                <w:sz w:val="18"/>
                <w:szCs w:val="18"/>
              </w:rPr>
              <w:t xml:space="preserve">User interface &amp; app logic</w:t>
            </w:r>
          </w:p>
        </w:tc>
        <w:tc>
          <w:tcPr>
            <w:tcW w:type="dxa" w:w="5026"/>
            <w:tcMar>
              <w:top w:type="dxa" w:w="80"/>
              <w:left w:type="dxa" w:w="120"/>
              <w:bottom w:type="dxa" w:w="80"/>
              <w:right w:type="dxa" w:w="120"/>
            </w:tcMar>
          </w:tcPr>
          <w:p>
            <w:pPr>
              <w:spacing w:after="0" w:line="246"/>
            </w:pPr>
            <w:r>
              <w:rPr>
                <w:rFonts w:ascii="Calibri" w:cs="Calibri" w:eastAsia="Calibri" w:hAnsi="Calibri"/>
                <w:sz w:val="18"/>
                <w:szCs w:val="18"/>
              </w:rPr>
              <w:t xml:space="preserve">Next.js on Vercel</w:t>
            </w:r>
          </w:p>
        </w:tc>
      </w:tr>
      <w:tr>
        <w:tc>
          <w:tcPr>
            <w:tcW w:type="dxa" w:w="40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Data, auth, file storage, access policy</w:t>
            </w:r>
          </w:p>
        </w:tc>
        <w:tc>
          <w:tcPr>
            <w:tcW w:type="dxa" w:w="50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Supabase (Postgres)</w:t>
            </w:r>
          </w:p>
        </w:tc>
      </w:tr>
      <w:tr>
        <w:tc>
          <w:tcPr>
            <w:tcW w:type="dxa" w:w="4000"/>
            <w:tcMar>
              <w:top w:type="dxa" w:w="80"/>
              <w:left w:type="dxa" w:w="120"/>
              <w:bottom w:type="dxa" w:w="80"/>
              <w:right w:type="dxa" w:w="120"/>
            </w:tcMar>
          </w:tcPr>
          <w:p>
            <w:pPr>
              <w:spacing w:after="0" w:line="246"/>
            </w:pPr>
            <w:r>
              <w:rPr>
                <w:rFonts w:ascii="Calibri" w:cs="Calibri" w:eastAsia="Calibri" w:hAnsi="Calibri"/>
                <w:sz w:val="18"/>
                <w:szCs w:val="18"/>
              </w:rPr>
              <w:t xml:space="preserve">Schema definition &amp; migrations</w:t>
            </w:r>
          </w:p>
        </w:tc>
        <w:tc>
          <w:tcPr>
            <w:tcW w:type="dxa" w:w="5026"/>
            <w:tcMar>
              <w:top w:type="dxa" w:w="80"/>
              <w:left w:type="dxa" w:w="120"/>
              <w:bottom w:type="dxa" w:w="80"/>
              <w:right w:type="dxa" w:w="120"/>
            </w:tcMar>
          </w:tcPr>
          <w:p>
            <w:pPr>
              <w:spacing w:after="0" w:line="246"/>
            </w:pPr>
            <w:r>
              <w:rPr>
                <w:rFonts w:ascii="Calibri" w:cs="Calibri" w:eastAsia="Calibri" w:hAnsi="Calibri"/>
                <w:sz w:val="18"/>
                <w:szCs w:val="18"/>
              </w:rPr>
              <w:t xml:space="preserve">Prisma, pointed at the Supabase database</w:t>
            </w:r>
          </w:p>
        </w:tc>
      </w:tr>
      <w:tr>
        <w:tc>
          <w:tcPr>
            <w:tcW w:type="dxa" w:w="40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Card payments</w:t>
            </w:r>
          </w:p>
        </w:tc>
        <w:tc>
          <w:tcPr>
            <w:tcW w:type="dxa" w:w="50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Stripe (or UAE alternative, see 2.1)</w:t>
            </w:r>
          </w:p>
        </w:tc>
      </w:tr>
      <w:tr>
        <w:tc>
          <w:tcPr>
            <w:tcW w:type="dxa" w:w="4000"/>
            <w:tcMar>
              <w:top w:type="dxa" w:w="80"/>
              <w:left w:type="dxa" w:w="120"/>
              <w:bottom w:type="dxa" w:w="80"/>
              <w:right w:type="dxa" w:w="120"/>
            </w:tcMar>
          </w:tcPr>
          <w:p>
            <w:pPr>
              <w:spacing w:after="0" w:line="246"/>
            </w:pPr>
            <w:r>
              <w:rPr>
                <w:rFonts w:ascii="Calibri" w:cs="Calibri" w:eastAsia="Calibri" w:hAnsi="Calibri"/>
                <w:sz w:val="18"/>
                <w:szCs w:val="18"/>
              </w:rPr>
              <w:t xml:space="preserve">Email</w:t>
            </w:r>
          </w:p>
        </w:tc>
        <w:tc>
          <w:tcPr>
            <w:tcW w:type="dxa" w:w="5026"/>
            <w:tcMar>
              <w:top w:type="dxa" w:w="80"/>
              <w:left w:type="dxa" w:w="120"/>
              <w:bottom w:type="dxa" w:w="80"/>
              <w:right w:type="dxa" w:w="120"/>
            </w:tcMar>
          </w:tcPr>
          <w:p>
            <w:pPr>
              <w:spacing w:after="0" w:line="246"/>
            </w:pPr>
            <w:r>
              <w:rPr>
                <w:rFonts w:ascii="Calibri" w:cs="Calibri" w:eastAsia="Calibri" w:hAnsi="Calibri"/>
                <w:sz w:val="18"/>
                <w:szCs w:val="18"/>
              </w:rPr>
              <w:t xml:space="preserve">Resend</w:t>
            </w:r>
          </w:p>
        </w:tc>
      </w:tr>
      <w:tr>
        <w:tc>
          <w:tcPr>
            <w:tcW w:type="dxa" w:w="40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WhatsApp</w:t>
            </w:r>
          </w:p>
        </w:tc>
        <w:tc>
          <w:tcPr>
            <w:tcW w:type="dxa" w:w="50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Meta Cloud API / Twilio</w:t>
            </w:r>
          </w:p>
        </w:tc>
      </w:tr>
      <w:tr>
        <w:tc>
          <w:tcPr>
            <w:tcW w:type="dxa" w:w="4000"/>
            <w:tcMar>
              <w:top w:type="dxa" w:w="80"/>
              <w:left w:type="dxa" w:w="120"/>
              <w:bottom w:type="dxa" w:w="80"/>
              <w:right w:type="dxa" w:w="120"/>
            </w:tcMar>
          </w:tcPr>
          <w:p>
            <w:pPr>
              <w:spacing w:after="0" w:line="246"/>
            </w:pPr>
            <w:r>
              <w:rPr>
                <w:rFonts w:ascii="Calibri" w:cs="Calibri" w:eastAsia="Calibri" w:hAnsi="Calibri"/>
                <w:sz w:val="18"/>
                <w:szCs w:val="18"/>
              </w:rPr>
              <w:t xml:space="preserve">Scheduled/background work</w:t>
            </w:r>
          </w:p>
        </w:tc>
        <w:tc>
          <w:tcPr>
            <w:tcW w:type="dxa" w:w="5026"/>
            <w:tcMar>
              <w:top w:type="dxa" w:w="80"/>
              <w:left w:type="dxa" w:w="120"/>
              <w:bottom w:type="dxa" w:w="80"/>
              <w:right w:type="dxa" w:w="120"/>
            </w:tcMar>
          </w:tcPr>
          <w:p>
            <w:pPr>
              <w:spacing w:after="0" w:line="246"/>
            </w:pPr>
            <w:r>
              <w:rPr>
                <w:rFonts w:ascii="Calibri" w:cs="Calibri" w:eastAsia="Calibri" w:hAnsi="Calibri"/>
                <w:sz w:val="18"/>
                <w:szCs w:val="18"/>
              </w:rPr>
              <w:t xml:space="preserve">Vercel Cron or Inngest</w:t>
            </w:r>
          </w:p>
        </w:tc>
      </w:tr>
      <w:tr>
        <w:tc>
          <w:tcPr>
            <w:tcW w:type="dxa" w:w="40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Error &amp; uptime monitoring</w:t>
            </w:r>
          </w:p>
        </w:tc>
        <w:tc>
          <w:tcPr>
            <w:tcW w:type="dxa" w:w="50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Sentry + uptime checker</w:t>
            </w:r>
          </w:p>
        </w:tc>
      </w:tr>
    </w:tbl>
    <w:p>
      <w:r>
        <w:br w:type="page"/>
      </w:r>
    </w:p>
    <w:p>
      <w:pPr>
        <w:pStyle w:val="Heading1"/>
        <w:spacing w:after="160" w:before="320"/>
      </w:pPr>
      <w:r>
        <w:rPr>
          <w:rFonts w:ascii="Calibri" w:cs="Calibri" w:eastAsia="Calibri" w:hAnsi="Calibri"/>
          <w:b/>
          <w:bCs/>
          <w:color w:val="1F4E79"/>
          <w:sz w:val="30"/>
          <w:szCs w:val="30"/>
        </w:rPr>
        <w:t xml:space="preserve">3. Database Design</w:t>
      </w:r>
    </w:p>
    <w:p>
      <w:pPr>
        <w:spacing w:after="120" w:line="276"/>
      </w:pPr>
      <w:r>
        <w:rPr>
          <w:rFonts w:ascii="Calibri" w:cs="Calibri" w:eastAsia="Calibri" w:hAnsi="Calibri"/>
          <w:sz w:val="21"/>
          <w:szCs w:val="21"/>
        </w:rPr>
        <w:t xml:space="preserve">This section translates the specification's section 5 data model into concrete Postgres design decisions.</w:t>
      </w:r>
    </w:p>
    <w:p>
      <w:pPr>
        <w:pStyle w:val="Heading2"/>
        <w:spacing w:after="120" w:before="240"/>
      </w:pPr>
      <w:r>
        <w:rPr>
          <w:rFonts w:ascii="Calibri" w:cs="Calibri" w:eastAsia="Calibri" w:hAnsi="Calibri"/>
          <w:b/>
          <w:bCs/>
          <w:color w:val="1F4E79"/>
          <w:sz w:val="24"/>
          <w:szCs w:val="24"/>
        </w:rPr>
        <w:t xml:space="preserve">3.1 Schema organisation</w:t>
      </w:r>
    </w:p>
    <w:p>
      <w:pPr>
        <w:pStyle w:val="ListParagraph"/>
        <w:numPr>
          <w:ilvl w:val="0"/>
          <w:numId w:val="2"/>
        </w:numPr>
        <w:spacing w:after="60" w:line="276"/>
      </w:pPr>
      <w:r>
        <w:rPr>
          <w:rFonts w:ascii="Calibri" w:cs="Calibri" w:eastAsia="Calibri" w:hAnsi="Calibri"/>
          <w:sz w:val="21"/>
          <w:szCs w:val="21"/>
        </w:rPr>
        <w:t xml:space="preserve">One Postgres schema, tables matching the specification's entities: property, owner, property_photo, document, utility_account, guest, booking, booking_occupant, payment, rate_plan, expense, work_order, maintenance_schedule, asset, vendor, cleaning_task, compliance_task, app_user, audit_log.</w:t>
      </w:r>
    </w:p>
    <w:p>
      <w:pPr>
        <w:pStyle w:val="ListParagraph"/>
        <w:numPr>
          <w:ilvl w:val="0"/>
          <w:numId w:val="2"/>
        </w:numPr>
        <w:spacing w:after="60" w:line="276"/>
      </w:pPr>
      <w:r>
        <w:rPr>
          <w:rFonts w:ascii="Calibri" w:cs="Calibri" w:eastAsia="Calibri" w:hAnsi="Calibri"/>
          <w:sz w:val="21"/>
          <w:szCs w:val="21"/>
        </w:rPr>
        <w:t xml:space="preserve">Status fields (booking status, work order status, document status) use Postgres enum types, not free-text strings — invalid states become impossible to insert.</w:t>
      </w:r>
    </w:p>
    <w:p>
      <w:pPr>
        <w:pStyle w:val="ListParagraph"/>
        <w:numPr>
          <w:ilvl w:val="0"/>
          <w:numId w:val="2"/>
        </w:numPr>
        <w:spacing w:after="60" w:line="276"/>
      </w:pPr>
      <w:r>
        <w:rPr>
          <w:rFonts w:ascii="Calibri" w:cs="Calibri" w:eastAsia="Calibri" w:hAnsi="Calibri"/>
          <w:sz w:val="21"/>
          <w:szCs w:val="21"/>
        </w:rPr>
        <w:t xml:space="preserve">Money fields stored as integer minor units (fils, 1/100 AED) with a currency code column alongside, never as floating point — per the spec's section 5.2 note.</w:t>
      </w:r>
    </w:p>
    <w:p>
      <w:pPr>
        <w:pStyle w:val="ListParagraph"/>
        <w:numPr>
          <w:ilvl w:val="0"/>
          <w:numId w:val="2"/>
        </w:numPr>
        <w:spacing w:after="60" w:line="276"/>
      </w:pPr>
      <w:r>
        <w:rPr>
          <w:rFonts w:ascii="Calibri" w:cs="Calibri" w:eastAsia="Calibri" w:hAnsi="Calibri"/>
          <w:sz w:val="21"/>
          <w:szCs w:val="21"/>
        </w:rPr>
        <w:t xml:space="preserve">Every table carries created_at, updated_at and created_by columns as a baseline audit trail, in addition to the dedicated audit_log table for sensitive actions (price changes, deposit refunds, document access).</w:t>
      </w:r>
    </w:p>
    <w:p>
      <w:pPr>
        <w:pStyle w:val="Heading2"/>
        <w:spacing w:after="120" w:before="240"/>
      </w:pPr>
      <w:r>
        <w:rPr>
          <w:rFonts w:ascii="Calibri" w:cs="Calibri" w:eastAsia="Calibri" w:hAnsi="Calibri"/>
          <w:b/>
          <w:bCs/>
          <w:color w:val="1F4E79"/>
          <w:sz w:val="24"/>
          <w:szCs w:val="24"/>
        </w:rPr>
        <w:t xml:space="preserve">3.2 Double-booking prevention — the key design decision</w:t>
      </w:r>
    </w:p>
    <w:p>
      <w:pPr>
        <w:spacing w:after="120" w:line="276"/>
      </w:pPr>
      <w:r>
        <w:rPr>
          <w:rFonts w:ascii="Calibri" w:cs="Calibri" w:eastAsia="Calibri" w:hAnsi="Calibri"/>
          <w:sz w:val="21"/>
          <w:szCs w:val="21"/>
        </w:rPr>
        <w:t xml:space="preserve">The specification calls this out as a hard requirement. The reliable way to guarantee it is a database constraint, not an application-level check that runs before insert and can race under concurrent requests:</w:t>
      </w:r>
    </w:p>
    <w:p>
      <w:pPr>
        <w:pStyle w:val="ListParagraph"/>
        <w:numPr>
          <w:ilvl w:val="0"/>
          <w:numId w:val="2"/>
        </w:numPr>
        <w:spacing w:after="60" w:line="276"/>
      </w:pPr>
      <w:r>
        <w:rPr>
          <w:rFonts w:ascii="Calibri" w:cs="Calibri" w:eastAsia="Calibri" w:hAnsi="Calibri"/>
          <w:sz w:val="21"/>
          <w:szCs w:val="21"/>
        </w:rPr>
        <w:t xml:space="preserve">Enable the btree_gist Postgres extension.</w:t>
      </w:r>
    </w:p>
    <w:p>
      <w:pPr>
        <w:pStyle w:val="ListParagraph"/>
        <w:numPr>
          <w:ilvl w:val="0"/>
          <w:numId w:val="2"/>
        </w:numPr>
        <w:spacing w:after="60" w:line="276"/>
      </w:pPr>
      <w:r>
        <w:rPr>
          <w:rFonts w:ascii="Calibri" w:cs="Calibri" w:eastAsia="Calibri" w:hAnsi="Calibri"/>
          <w:sz w:val="21"/>
          <w:szCs w:val="21"/>
        </w:rPr>
        <w:t xml:space="preserve">Add an EXCLUDE constraint on the booking table over (property_id, stay_range) using &amp;&amp; (range overlap), scoped to confirmed and checked-in statuses only, so tentative holds and cancelled bookings don't block new ones.</w:t>
      </w:r>
    </w:p>
    <w:p>
      <w:pPr>
        <w:pStyle w:val="ListParagraph"/>
        <w:numPr>
          <w:ilvl w:val="0"/>
          <w:numId w:val="2"/>
        </w:numPr>
        <w:spacing w:after="60" w:line="276"/>
      </w:pPr>
      <w:r>
        <w:rPr>
          <w:rFonts w:ascii="Calibri" w:cs="Calibri" w:eastAsia="Calibri" w:hAnsi="Calibri"/>
          <w:sz w:val="21"/>
          <w:szCs w:val="21"/>
        </w:rPr>
        <w:t xml:space="preserve">This makes an overlapping confirmed booking a database-level impossibility — the insert simply fails — rather than a bug that surfaces the first time two requests land at the same moment.</w:t>
      </w:r>
    </w:p>
    <w:p>
      <w:pPr>
        <w:pStyle w:val="Heading2"/>
        <w:spacing w:after="120" w:before="240"/>
      </w:pPr>
      <w:r>
        <w:rPr>
          <w:rFonts w:ascii="Calibri" w:cs="Calibri" w:eastAsia="Calibri" w:hAnsi="Calibri"/>
          <w:b/>
          <w:bCs/>
          <w:color w:val="1F4E79"/>
          <w:sz w:val="24"/>
          <w:szCs w:val="24"/>
        </w:rPr>
        <w:t xml:space="preserve">3.3 Row-Level Security policy model</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1400"/>
        <w:gridCol w:w="3800"/>
        <w:gridCol w:w="3826"/>
      </w:tblGrid>
      <w:tr>
        <w:trPr>
          <w:tblHeader/>
        </w:trPr>
        <w:tc>
          <w:tcPr>
            <w:tcW w:type="dxa" w:w="14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Role</w:t>
            </w:r>
          </w:p>
        </w:tc>
        <w:tc>
          <w:tcPr>
            <w:tcW w:type="dxa" w:w="38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Can see</w:t>
            </w:r>
          </w:p>
        </w:tc>
        <w:tc>
          <w:tcPr>
            <w:tcW w:type="dxa" w:w="38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Cannot see</w:t>
            </w:r>
          </w:p>
        </w:tc>
      </w:tr>
      <w:tr>
        <w:tc>
          <w:tcPr>
            <w:tcW w:type="dxa" w:w="1400"/>
            <w:tcMar>
              <w:top w:type="dxa" w:w="80"/>
              <w:left w:type="dxa" w:w="120"/>
              <w:bottom w:type="dxa" w:w="80"/>
              <w:right w:type="dxa" w:w="120"/>
            </w:tcMar>
          </w:tcPr>
          <w:p>
            <w:pPr>
              <w:spacing w:after="0" w:line="246"/>
            </w:pPr>
            <w:r>
              <w:rPr>
                <w:rFonts w:ascii="Calibri" w:cs="Calibri" w:eastAsia="Calibri" w:hAnsi="Calibri"/>
                <w:sz w:val="18"/>
                <w:szCs w:val="18"/>
              </w:rPr>
              <w:t xml:space="preserve">Owner</w:t>
            </w:r>
          </w:p>
        </w:tc>
        <w:tc>
          <w:tcPr>
            <w:tcW w:type="dxa" w:w="3800"/>
            <w:tcMar>
              <w:top w:type="dxa" w:w="80"/>
              <w:left w:type="dxa" w:w="120"/>
              <w:bottom w:type="dxa" w:w="80"/>
              <w:right w:type="dxa" w:w="120"/>
            </w:tcMar>
          </w:tcPr>
          <w:p>
            <w:pPr>
              <w:spacing w:after="0" w:line="246"/>
            </w:pPr>
            <w:r>
              <w:rPr>
                <w:rFonts w:ascii="Calibri" w:cs="Calibri" w:eastAsia="Calibri" w:hAnsi="Calibri"/>
                <w:sz w:val="18"/>
                <w:szCs w:val="18"/>
              </w:rPr>
              <w:t xml:space="preserve">Everything</w:t>
            </w:r>
          </w:p>
        </w:tc>
        <w:tc>
          <w:tcPr>
            <w:tcW w:type="dxa" w:w="3826"/>
            <w:tcMar>
              <w:top w:type="dxa" w:w="80"/>
              <w:left w:type="dxa" w:w="120"/>
              <w:bottom w:type="dxa" w:w="80"/>
              <w:right w:type="dxa" w:w="120"/>
            </w:tcMar>
          </w:tcPr>
          <w:p>
            <w:pPr>
              <w:spacing w:after="0" w:line="246"/>
            </w:pPr>
            <w:r>
              <w:rPr>
                <w:rFonts w:ascii="Calibri" w:cs="Calibri" w:eastAsia="Calibri" w:hAnsi="Calibri"/>
                <w:sz w:val="18"/>
                <w:szCs w:val="18"/>
              </w:rPr>
              <w:t xml:space="preserve">—</w:t>
            </w:r>
          </w:p>
        </w:tc>
      </w:tr>
      <w:tr>
        <w:tc>
          <w:tcPr>
            <w:tcW w:type="dxa" w:w="14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Manager</w:t>
            </w:r>
          </w:p>
        </w:tc>
        <w:tc>
          <w:tcPr>
            <w:tcW w:type="dxa" w:w="38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Properties, bookings, guests, pricing, reports</w:t>
            </w:r>
          </w:p>
        </w:tc>
        <w:tc>
          <w:tcPr>
            <w:tcW w:type="dxa" w:w="38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Owner banking details</w:t>
            </w:r>
          </w:p>
        </w:tc>
      </w:tr>
      <w:tr>
        <w:tc>
          <w:tcPr>
            <w:tcW w:type="dxa" w:w="1400"/>
            <w:tcMar>
              <w:top w:type="dxa" w:w="80"/>
              <w:left w:type="dxa" w:w="120"/>
              <w:bottom w:type="dxa" w:w="80"/>
              <w:right w:type="dxa" w:w="120"/>
            </w:tcMar>
          </w:tcPr>
          <w:p>
            <w:pPr>
              <w:spacing w:after="0" w:line="246"/>
            </w:pPr>
            <w:r>
              <w:rPr>
                <w:rFonts w:ascii="Calibri" w:cs="Calibri" w:eastAsia="Calibri" w:hAnsi="Calibri"/>
                <w:sz w:val="18"/>
                <w:szCs w:val="18"/>
              </w:rPr>
              <w:t xml:space="preserve">Finance</w:t>
            </w:r>
          </w:p>
        </w:tc>
        <w:tc>
          <w:tcPr>
            <w:tcW w:type="dxa" w:w="3800"/>
            <w:tcMar>
              <w:top w:type="dxa" w:w="80"/>
              <w:left w:type="dxa" w:w="120"/>
              <w:bottom w:type="dxa" w:w="80"/>
              <w:right w:type="dxa" w:w="120"/>
            </w:tcMar>
          </w:tcPr>
          <w:p>
            <w:pPr>
              <w:spacing w:after="0" w:line="246"/>
            </w:pPr>
            <w:r>
              <w:rPr>
                <w:rFonts w:ascii="Calibri" w:cs="Calibri" w:eastAsia="Calibri" w:hAnsi="Calibri"/>
                <w:sz w:val="18"/>
                <w:szCs w:val="18"/>
              </w:rPr>
              <w:t xml:space="preserve">Payments, expenses, invoices, tax reports</w:t>
            </w:r>
          </w:p>
        </w:tc>
        <w:tc>
          <w:tcPr>
            <w:tcW w:type="dxa" w:w="3826"/>
            <w:tcMar>
              <w:top w:type="dxa" w:w="80"/>
              <w:left w:type="dxa" w:w="120"/>
              <w:bottom w:type="dxa" w:w="80"/>
              <w:right w:type="dxa" w:w="120"/>
            </w:tcMar>
          </w:tcPr>
          <w:p>
            <w:pPr>
              <w:spacing w:after="0" w:line="246"/>
            </w:pPr>
            <w:r>
              <w:rPr>
                <w:rFonts w:ascii="Calibri" w:cs="Calibri" w:eastAsia="Calibri" w:hAnsi="Calibri"/>
                <w:sz w:val="18"/>
                <w:szCs w:val="18"/>
              </w:rPr>
              <w:t xml:space="preserve">Guest identity documents beyond what's needed for invoicing</w:t>
            </w:r>
          </w:p>
        </w:tc>
      </w:tr>
      <w:tr>
        <w:tc>
          <w:tcPr>
            <w:tcW w:type="dxa" w:w="14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Housekeeping</w:t>
            </w:r>
          </w:p>
        </w:tc>
        <w:tc>
          <w:tcPr>
            <w:tcW w:type="dxa" w:w="38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Today's and upcoming cleaning tasks, property access codes</w:t>
            </w:r>
          </w:p>
        </w:tc>
        <w:tc>
          <w:tcPr>
            <w:tcW w:type="dxa" w:w="38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Guest identity documents, pricing, financials</w:t>
            </w:r>
          </w:p>
        </w:tc>
      </w:tr>
      <w:tr>
        <w:tc>
          <w:tcPr>
            <w:tcW w:type="dxa" w:w="1400"/>
            <w:tcMar>
              <w:top w:type="dxa" w:w="80"/>
              <w:left w:type="dxa" w:w="120"/>
              <w:bottom w:type="dxa" w:w="80"/>
              <w:right w:type="dxa" w:w="120"/>
            </w:tcMar>
          </w:tcPr>
          <w:p>
            <w:pPr>
              <w:spacing w:after="0" w:line="246"/>
            </w:pPr>
            <w:r>
              <w:rPr>
                <w:rFonts w:ascii="Calibri" w:cs="Calibri" w:eastAsia="Calibri" w:hAnsi="Calibri"/>
                <w:sz w:val="18"/>
                <w:szCs w:val="18"/>
              </w:rPr>
              <w:t xml:space="preserve">Maintenance</w:t>
            </w:r>
          </w:p>
        </w:tc>
        <w:tc>
          <w:tcPr>
            <w:tcW w:type="dxa" w:w="3800"/>
            <w:tcMar>
              <w:top w:type="dxa" w:w="80"/>
              <w:left w:type="dxa" w:w="120"/>
              <w:bottom w:type="dxa" w:w="80"/>
              <w:right w:type="dxa" w:w="120"/>
            </w:tcMar>
          </w:tcPr>
          <w:p>
            <w:pPr>
              <w:spacing w:after="0" w:line="246"/>
            </w:pPr>
            <w:r>
              <w:rPr>
                <w:rFonts w:ascii="Calibri" w:cs="Calibri" w:eastAsia="Calibri" w:hAnsi="Calibri"/>
                <w:sz w:val="18"/>
                <w:szCs w:val="18"/>
              </w:rPr>
              <w:t xml:space="preserve">Work orders, asset register, vendor directory</w:t>
            </w:r>
          </w:p>
        </w:tc>
        <w:tc>
          <w:tcPr>
            <w:tcW w:type="dxa" w:w="3826"/>
            <w:tcMar>
              <w:top w:type="dxa" w:w="80"/>
              <w:left w:type="dxa" w:w="120"/>
              <w:bottom w:type="dxa" w:w="80"/>
              <w:right w:type="dxa" w:w="120"/>
            </w:tcMar>
          </w:tcPr>
          <w:p>
            <w:pPr>
              <w:spacing w:after="0" w:line="246"/>
            </w:pPr>
            <w:r>
              <w:rPr>
                <w:rFonts w:ascii="Calibri" w:cs="Calibri" w:eastAsia="Calibri" w:hAnsi="Calibri"/>
                <w:sz w:val="18"/>
                <w:szCs w:val="18"/>
              </w:rPr>
              <w:t xml:space="preserve">Guest identity documents, pricing, financials, booking guest names beyond the affected unit</w:t>
            </w:r>
          </w:p>
        </w:tc>
      </w:tr>
      <w:tr>
        <w:tc>
          <w:tcPr>
            <w:tcW w:type="dxa" w:w="14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Read-only</w:t>
            </w:r>
          </w:p>
        </w:tc>
        <w:tc>
          <w:tcPr>
            <w:tcW w:type="dxa" w:w="38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Dashboards and reports as configured</w:t>
            </w:r>
          </w:p>
        </w:tc>
        <w:tc>
          <w:tcPr>
            <w:tcW w:type="dxa" w:w="38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Ability to edit anything</w:t>
            </w:r>
          </w:p>
        </w:tc>
      </w:tr>
    </w:tbl>
    <w:p>
      <w:pPr>
        <w:spacing w:after="120" w:line="276"/>
      </w:pPr>
      <w:r>
        <w:rPr>
          <w:rFonts w:ascii="Calibri" w:cs="Calibri" w:eastAsia="Calibri" w:hAnsi="Calibri"/>
          <w:sz w:val="21"/>
          <w:szCs w:val="21"/>
        </w:rPr>
        <w:t xml:space="preserve">Policies are written once at the database layer via Supabase's Row-Level Security, so the restriction holds even if a future screen or API route forgets to check the role — the database enforces it regardless of the calling code.</w:t>
      </w:r>
    </w:p>
    <w:p>
      <w:pPr>
        <w:pStyle w:val="Heading2"/>
        <w:spacing w:after="120" w:before="240"/>
      </w:pPr>
      <w:r>
        <w:rPr>
          <w:rFonts w:ascii="Calibri" w:cs="Calibri" w:eastAsia="Calibri" w:hAnsi="Calibri"/>
          <w:b/>
          <w:bCs/>
          <w:color w:val="1F4E79"/>
          <w:sz w:val="24"/>
          <w:szCs w:val="24"/>
        </w:rPr>
        <w:t xml:space="preserve">3.4 Identity document handling</w:t>
      </w:r>
    </w:p>
    <w:p>
      <w:pPr>
        <w:pStyle w:val="ListParagraph"/>
        <w:numPr>
          <w:ilvl w:val="0"/>
          <w:numId w:val="2"/>
        </w:numPr>
        <w:spacing w:after="60" w:line="276"/>
      </w:pPr>
      <w:r>
        <w:rPr>
          <w:rFonts w:ascii="Calibri" w:cs="Calibri" w:eastAsia="Calibri" w:hAnsi="Calibri"/>
          <w:sz w:val="21"/>
          <w:szCs w:val="21"/>
        </w:rPr>
        <w:t xml:space="preserve">Guest passport/Emirates ID files live in the identity-documents storage bucket, never in property-media.</w:t>
      </w:r>
    </w:p>
    <w:p>
      <w:pPr>
        <w:pStyle w:val="ListParagraph"/>
        <w:numPr>
          <w:ilvl w:val="0"/>
          <w:numId w:val="2"/>
        </w:numPr>
        <w:spacing w:after="60" w:line="276"/>
      </w:pPr>
      <w:r>
        <w:rPr>
          <w:rFonts w:ascii="Calibri" w:cs="Calibri" w:eastAsia="Calibri" w:hAnsi="Calibri"/>
          <w:sz w:val="21"/>
          <w:szCs w:val="21"/>
        </w:rPr>
        <w:t xml:space="preserve">Access is via short-lived signed URLs generated on demand, not permanent public links.</w:t>
      </w:r>
    </w:p>
    <w:p>
      <w:pPr>
        <w:pStyle w:val="ListParagraph"/>
        <w:numPr>
          <w:ilvl w:val="0"/>
          <w:numId w:val="2"/>
        </w:numPr>
        <w:spacing w:after="60" w:line="276"/>
      </w:pPr>
      <w:r>
        <w:rPr>
          <w:rFonts w:ascii="Calibri" w:cs="Calibri" w:eastAsia="Calibri" w:hAnsi="Calibri"/>
          <w:sz w:val="21"/>
          <w:szCs w:val="21"/>
        </w:rPr>
        <w:t xml:space="preserve">A retention_expires_at column on the document record drives an automated deletion job once the legal retention period lapses.</w:t>
      </w:r>
    </w:p>
    <w:p>
      <w:pPr>
        <w:pStyle w:val="ListParagraph"/>
        <w:numPr>
          <w:ilvl w:val="0"/>
          <w:numId w:val="2"/>
        </w:numPr>
        <w:spacing w:after="60" w:line="276"/>
      </w:pPr>
      <w:r>
        <w:rPr>
          <w:rFonts w:ascii="Calibri" w:cs="Calibri" w:eastAsia="Calibri" w:hAnsi="Calibri"/>
          <w:sz w:val="21"/>
          <w:szCs w:val="21"/>
        </w:rPr>
        <w:t xml:space="preserve">Every read of an identity document is written to audit_log with the accessing user and timestamp, per the spec's security requirements in section 6.4.</w:t>
      </w:r>
    </w:p>
    <w:p>
      <w:pPr>
        <w:pStyle w:val="Heading2"/>
        <w:spacing w:after="120" w:before="240"/>
      </w:pPr>
      <w:r>
        <w:rPr>
          <w:rFonts w:ascii="Calibri" w:cs="Calibri" w:eastAsia="Calibri" w:hAnsi="Calibri"/>
          <w:b/>
          <w:bCs/>
          <w:color w:val="1F4E79"/>
          <w:sz w:val="24"/>
          <w:szCs w:val="24"/>
        </w:rPr>
        <w:t xml:space="preserve">3.5 Migration strategy</w:t>
      </w:r>
    </w:p>
    <w:p>
      <w:pPr>
        <w:pStyle w:val="ListParagraph"/>
        <w:numPr>
          <w:ilvl w:val="0"/>
          <w:numId w:val="2"/>
        </w:numPr>
        <w:spacing w:after="60" w:line="276"/>
      </w:pPr>
      <w:r>
        <w:rPr>
          <w:rFonts w:ascii="Calibri" w:cs="Calibri" w:eastAsia="Calibri" w:hAnsi="Calibri"/>
          <w:sz w:val="21"/>
          <w:szCs w:val="21"/>
        </w:rPr>
        <w:t xml:space="preserve">Schema defined in Prisma's schema file, checked into version control.</w:t>
      </w:r>
    </w:p>
    <w:p>
      <w:pPr>
        <w:pStyle w:val="ListParagraph"/>
        <w:numPr>
          <w:ilvl w:val="0"/>
          <w:numId w:val="2"/>
        </w:numPr>
        <w:spacing w:after="60" w:line="276"/>
      </w:pPr>
      <w:r>
        <w:rPr>
          <w:rFonts w:ascii="Calibri" w:cs="Calibri" w:eastAsia="Calibri" w:hAnsi="Calibri"/>
          <w:sz w:val="21"/>
          <w:szCs w:val="21"/>
        </w:rPr>
        <w:t xml:space="preserve">Every schema change ships as a numbered migration file, applied the same way in every environment (local, staging, production) — never edited directly in the Supabase dashboard once Phase 1 is live.</w:t>
      </w:r>
    </w:p>
    <w:p>
      <w:pPr>
        <w:pStyle w:val="ListParagraph"/>
        <w:numPr>
          <w:ilvl w:val="0"/>
          <w:numId w:val="2"/>
        </w:numPr>
        <w:spacing w:after="60" w:line="276"/>
      </w:pPr>
      <w:r>
        <w:rPr>
          <w:rFonts w:ascii="Calibri" w:cs="Calibri" w:eastAsia="Calibri" w:hAnsi="Calibri"/>
          <w:sz w:val="21"/>
          <w:szCs w:val="21"/>
        </w:rPr>
        <w:t xml:space="preserve">Seed script for local development: a handful of fake properties, guests and bookings so the app is usable immediately after checkout, without needing real data.</w:t>
      </w:r>
    </w:p>
    <w:p>
      <w:r>
        <w:br w:type="page"/>
      </w:r>
    </w:p>
    <w:p>
      <w:pPr>
        <w:pStyle w:val="Heading1"/>
        <w:spacing w:after="160" w:before="320"/>
      </w:pPr>
      <w:r>
        <w:rPr>
          <w:rFonts w:ascii="Calibri" w:cs="Calibri" w:eastAsia="Calibri" w:hAnsi="Calibri"/>
          <w:b/>
          <w:bCs/>
          <w:color w:val="1F4E79"/>
          <w:sz w:val="30"/>
          <w:szCs w:val="30"/>
        </w:rPr>
        <w:t xml:space="preserve">4. One-Time Setup Tasks</w:t>
      </w:r>
    </w:p>
    <w:p>
      <w:pPr>
        <w:spacing w:after="120" w:line="276"/>
      </w:pPr>
      <w:r>
        <w:rPr>
          <w:rFonts w:ascii="Calibri" w:cs="Calibri" w:eastAsia="Calibri" w:hAnsi="Calibri"/>
          <w:sz w:val="21"/>
          <w:szCs w:val="21"/>
        </w:rPr>
        <w:t xml:space="preserve">Infrastructure and tooling that exists once, before any feature work starts.</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900"/>
        <w:gridCol w:w="5226"/>
        <w:gridCol w:w="1900"/>
        <w:gridCol w:w="1000"/>
      </w:tblGrid>
      <w:tr>
        <w:trPr>
          <w:tblHeader/>
        </w:trPr>
        <w:tc>
          <w:tcPr>
            <w:tcW w:type="dxa" w:w="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w:t>
            </w:r>
          </w:p>
        </w:tc>
        <w:tc>
          <w:tcPr>
            <w:tcW w:type="dxa" w:w="52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Task</w:t>
            </w:r>
          </w:p>
        </w:tc>
        <w:tc>
          <w:tcPr>
            <w:tcW w:type="dxa" w:w="1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Depends on</w:t>
            </w:r>
          </w:p>
        </w:tc>
        <w:tc>
          <w:tcPr>
            <w:tcW w:type="dxa" w:w="10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Effort</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S0-1</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Create Git repository; scaffold Next.js 14 + TypeScript project; configure ESLint, Prettier, and a basic CI check (lint + typecheck on push)</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S0-2</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Provision Supabase project (dev, staging, production); configure environment variables and secrets management</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S0-1</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S0-3</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Set up Prisma pointed at the Supabase Postgres instance; commit initial empty migration</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S0-2</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S0-4</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Connect repository to Vercel; configure preview deployments and the three environments</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S0-1, S0-2</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S0-5</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Wire up Sentry error tracking and an uptime checker against the staging URL</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S0-4</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S0-6</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Establish base UI kit: layout shell, navigation, design tokens (colour, spacing, typography) so every later screen looks consistent from the start</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S0-1</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bl>
    <w:p>
      <w:r>
        <w:br w:type="page"/>
      </w:r>
    </w:p>
    <w:p>
      <w:pPr>
        <w:pStyle w:val="Heading1"/>
        <w:spacing w:after="160" w:before="320"/>
      </w:pPr>
      <w:r>
        <w:rPr>
          <w:rFonts w:ascii="Calibri" w:cs="Calibri" w:eastAsia="Calibri" w:hAnsi="Calibri"/>
          <w:b/>
          <w:bCs/>
          <w:color w:val="1F4E79"/>
          <w:sz w:val="30"/>
          <w:szCs w:val="30"/>
        </w:rPr>
        <w:t xml:space="preserve">5. Phase 1 — Core System (build first)</w:t>
      </w:r>
    </w:p>
    <w:p>
      <w:pPr>
        <w:spacing w:after="120" w:line="276"/>
      </w:pPr>
      <w:r>
        <w:rPr>
          <w:rFonts w:ascii="Calibri" w:cs="Calibri" w:eastAsia="Calibri" w:hAnsi="Calibri"/>
          <w:sz w:val="21"/>
          <w:szCs w:val="21"/>
        </w:rPr>
        <w:t xml:space="preserve">This is the part you asked to see first. Completing this phase replaces spreadsheets: every property, every document deadline, every guest and every booking live in one place, with no double-bookings possible.</w:t>
      </w:r>
    </w:p>
    <w:p>
      <w:pPr>
        <w:pStyle w:val="Heading2"/>
        <w:spacing w:after="120" w:before="240"/>
      </w:pPr>
      <w:r>
        <w:rPr>
          <w:rFonts w:ascii="Calibri" w:cs="Calibri" w:eastAsia="Calibri" w:hAnsi="Calibri"/>
          <w:b/>
          <w:bCs/>
          <w:color w:val="1F4E79"/>
          <w:sz w:val="24"/>
          <w:szCs w:val="24"/>
        </w:rPr>
        <w:t xml:space="preserve">5.1 Authentication, roles &amp; the property record</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900"/>
        <w:gridCol w:w="5226"/>
        <w:gridCol w:w="1900"/>
        <w:gridCol w:w="1000"/>
      </w:tblGrid>
      <w:tr>
        <w:trPr>
          <w:tblHeader/>
        </w:trPr>
        <w:tc>
          <w:tcPr>
            <w:tcW w:type="dxa" w:w="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w:t>
            </w:r>
          </w:p>
        </w:tc>
        <w:tc>
          <w:tcPr>
            <w:tcW w:type="dxa" w:w="52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Task</w:t>
            </w:r>
          </w:p>
        </w:tc>
        <w:tc>
          <w:tcPr>
            <w:tcW w:type="dxa" w:w="1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Depends on</w:t>
            </w:r>
          </w:p>
        </w:tc>
        <w:tc>
          <w:tcPr>
            <w:tcW w:type="dxa" w:w="10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Effort</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P1-1</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Implement authentication (Supabase Auth) — login, password reset, session handling</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S0-2</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P1-2</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Define roles and write Row-Level Security policies per section 3.3 of this plan</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P1-1</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P1-3</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Build the property data model (Prisma schema + migration) for the core fields in spec section 4.1: identity, specification, classification, status, access</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S0-3</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P1-4</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Property CRUD screens: list, create, edit, view</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P1-3, S0-6</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P1-5</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Photo gallery: multi-upload to property-media bucket, reordering, cover image, room tagging</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P1-4</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P1-6</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Amenities as a structured multi-select field set</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P1-4</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P1-7</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Owner record: data model, CRUD screen, link to property</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P1-3</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P1-8</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Utility account sub-records on the property (DEWA, district cooling, internet, gas, service charge, insurance) per the table in spec section 4.1</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P1-4</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bl>
    <w:p>
      <w:pPr>
        <w:pStyle w:val="Heading2"/>
        <w:spacing w:after="120" w:before="240"/>
      </w:pPr>
      <w:r>
        <w:rPr>
          <w:rFonts w:ascii="Calibri" w:cs="Calibri" w:eastAsia="Calibri" w:hAnsi="Calibri"/>
          <w:b/>
          <w:bCs/>
          <w:color w:val="1F4E79"/>
          <w:sz w:val="24"/>
          <w:szCs w:val="24"/>
        </w:rPr>
        <w:t xml:space="preserve">5.2 Document vault &amp; compliance dashboard</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900"/>
        <w:gridCol w:w="5226"/>
        <w:gridCol w:w="1900"/>
        <w:gridCol w:w="1000"/>
      </w:tblGrid>
      <w:tr>
        <w:trPr>
          <w:tblHeader/>
        </w:trPr>
        <w:tc>
          <w:tcPr>
            <w:tcW w:type="dxa" w:w="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w:t>
            </w:r>
          </w:p>
        </w:tc>
        <w:tc>
          <w:tcPr>
            <w:tcW w:type="dxa" w:w="52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Task</w:t>
            </w:r>
          </w:p>
        </w:tc>
        <w:tc>
          <w:tcPr>
            <w:tcW w:type="dxa" w:w="1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Depends on</w:t>
            </w:r>
          </w:p>
        </w:tc>
        <w:tc>
          <w:tcPr>
            <w:tcW w:type="dxa" w:w="10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Effort</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P1-9</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Document data model: type, reference, issuer, issue/expiry dates, linked property, file, uploader, polymorphic owner (property/owner/guest/booking)</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S0-3</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P1-10</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Document upload &amp; list screen per property, storing files in the appropriate bucket by document type</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P1-9, P1-5</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P1-11</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Expiry alert engine: scheduled job scanning documents at 90/60/30/7 days before expiry</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P1-9, S0-2</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P1-12</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Compliance dashboard: traffic-light status per property, aggregating all linked documents</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P1-11</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P1-13</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Blocking rule: prevent new confirmed bookings on a unit with an expired permit, with a logged override path</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P1-12, P1-19</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bl>
    <w:p>
      <w:pPr>
        <w:pStyle w:val="Heading2"/>
        <w:spacing w:after="120" w:before="240"/>
      </w:pPr>
      <w:r>
        <w:rPr>
          <w:rFonts w:ascii="Calibri" w:cs="Calibri" w:eastAsia="Calibri" w:hAnsi="Calibri"/>
          <w:b/>
          <w:bCs/>
          <w:color w:val="1F4E79"/>
          <w:sz w:val="24"/>
          <w:szCs w:val="24"/>
        </w:rPr>
        <w:t xml:space="preserve">5.3 Guest CRM</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900"/>
        <w:gridCol w:w="5226"/>
        <w:gridCol w:w="1900"/>
        <w:gridCol w:w="1000"/>
      </w:tblGrid>
      <w:tr>
        <w:trPr>
          <w:tblHeader/>
        </w:trPr>
        <w:tc>
          <w:tcPr>
            <w:tcW w:type="dxa" w:w="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w:t>
            </w:r>
          </w:p>
        </w:tc>
        <w:tc>
          <w:tcPr>
            <w:tcW w:type="dxa" w:w="52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Task</w:t>
            </w:r>
          </w:p>
        </w:tc>
        <w:tc>
          <w:tcPr>
            <w:tcW w:type="dxa" w:w="1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Depends on</w:t>
            </w:r>
          </w:p>
        </w:tc>
        <w:tc>
          <w:tcPr>
            <w:tcW w:type="dxa" w:w="10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Effort</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P1-14</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Guest data model: identity, document, contact, preferences, status flags, consent record (spec section 4.3)</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S0-3</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P1-15</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Guest CRUD screens with identity document upload to identity-documents bucket</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P1-14, P1-2</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P1-16</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Guest search, history view (past/upcoming bookings), VIP/blocked flags</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P1-15, P1-21</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P1-17</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Booking-to-guest relationship: lead guest plus additional occupants, each with their own identity document</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P1-14</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bl>
    <w:p>
      <w:pPr>
        <w:pStyle w:val="Heading2"/>
        <w:spacing w:after="120" w:before="240"/>
      </w:pPr>
      <w:r>
        <w:rPr>
          <w:rFonts w:ascii="Calibri" w:cs="Calibri" w:eastAsia="Calibri" w:hAnsi="Calibri"/>
          <w:b/>
          <w:bCs/>
          <w:color w:val="1F4E79"/>
          <w:sz w:val="24"/>
          <w:szCs w:val="24"/>
        </w:rPr>
        <w:t xml:space="preserve">5.4 Booking engine &amp; calendar</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900"/>
        <w:gridCol w:w="5226"/>
        <w:gridCol w:w="1900"/>
        <w:gridCol w:w="1000"/>
      </w:tblGrid>
      <w:tr>
        <w:trPr>
          <w:tblHeader/>
        </w:trPr>
        <w:tc>
          <w:tcPr>
            <w:tcW w:type="dxa" w:w="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w:t>
            </w:r>
          </w:p>
        </w:tc>
        <w:tc>
          <w:tcPr>
            <w:tcW w:type="dxa" w:w="52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Task</w:t>
            </w:r>
          </w:p>
        </w:tc>
        <w:tc>
          <w:tcPr>
            <w:tcW w:type="dxa" w:w="1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Depends on</w:t>
            </w:r>
          </w:p>
        </w:tc>
        <w:tc>
          <w:tcPr>
            <w:tcW w:type="dxa" w:w="10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Effort</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P1-18</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Booking data model per spec section 4.4: references, dates, party, status lifecycle, compliance and operations fields</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P1-3, P1-14</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P1-19</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Enable btree_gist and add the overlap-exclusion constraint described in section 3.2 of this plan</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P1-18</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P1-20</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Manual booking creation form: property, guest, dates, party size, status</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P1-18, P1-17</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P1-21</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Multi-property calendar view: properties as rows, dates as columns, colour-coded booking bars, drag to move/extend</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P1-20</w:t>
            </w:r>
          </w:p>
        </w:tc>
        <w:tc>
          <w:tcPr>
            <w:tcW w:type="dxa" w:w="10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L</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P1-22</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Single-property month view</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P1-21</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P1-23</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Arrivals &amp; departures view for today/tomorrow</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P1-20</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P1-24</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Tentative hold expiry job — automatically releases unconfirmed holds after their expiry window</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P1-18, S0-2</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P1-25</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iCal export per property (read-only feed for Airbnb/Booking.com to consume)</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P1-20</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P1-26</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iCal import job — pulls external channel calendars on a schedule and creates blocking entries to prevent double-booking</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P1-25</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bl>
    <w:p>
      <w:pPr>
        <w:pStyle w:val="Heading2"/>
        <w:spacing w:after="120" w:before="240"/>
      </w:pPr>
      <w:r>
        <w:rPr>
          <w:rFonts w:ascii="Calibri" w:cs="Calibri" w:eastAsia="Calibri" w:hAnsi="Calibri"/>
          <w:b/>
          <w:bCs/>
          <w:color w:val="1F4E79"/>
          <w:sz w:val="24"/>
          <w:szCs w:val="24"/>
        </w:rPr>
        <w:t xml:space="preserve">5.5 Phase 1 close-out</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900"/>
        <w:gridCol w:w="5226"/>
        <w:gridCol w:w="1900"/>
        <w:gridCol w:w="1000"/>
      </w:tblGrid>
      <w:tr>
        <w:trPr>
          <w:tblHeader/>
        </w:trPr>
        <w:tc>
          <w:tcPr>
            <w:tcW w:type="dxa" w:w="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w:t>
            </w:r>
          </w:p>
        </w:tc>
        <w:tc>
          <w:tcPr>
            <w:tcW w:type="dxa" w:w="52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Task</w:t>
            </w:r>
          </w:p>
        </w:tc>
        <w:tc>
          <w:tcPr>
            <w:tcW w:type="dxa" w:w="1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Depends on</w:t>
            </w:r>
          </w:p>
        </w:tc>
        <w:tc>
          <w:tcPr>
            <w:tcW w:type="dxa" w:w="10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Effort</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P1-27</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End-to-end manual test pass: create a property, add documents, add a guest, create a booking, confirm no double-booking is possible</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All above</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P1-28</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Deploy to staging; walkthrough with you; collect feedback before Phase 2 starts</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P1-27</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bl>
    <w:tbl>
      <w:tblPr>
        <w:tblW w:type="dxa" w:w="9026"/>
        <w:tblBorders>
          <w:top w:val="single" w:color="1F4E79" w:sz="4"/>
          <w:left w:val="single" w:color="1F4E79" w:sz="16"/>
          <w:bottom w:val="single" w:color="1F4E79" w:sz="4"/>
          <w:right w:val="single" w:color="1F4E79" w:sz="4"/>
          <w:insideH w:val="none"/>
          <w:insideV w:val="none"/>
        </w:tblBorders>
      </w:tblPr>
      <w:tblGrid>
        <w:gridCol w:w="9026"/>
      </w:tblGrid>
      <w:tr>
        <w:tc>
          <w:tcPr>
            <w:tcW w:type="dxa" w:w="9026"/>
            <w:shd w:fill="DCE6F1" w:val="clear"/>
            <w:tcMar>
              <w:top w:type="dxa" w:w="140"/>
              <w:left w:type="dxa" w:w="180"/>
              <w:bottom w:type="dxa" w:w="140"/>
              <w:right w:type="dxa" w:w="180"/>
            </w:tcMar>
          </w:tcPr>
          <w:p>
            <w:pPr>
              <w:spacing w:after="60"/>
            </w:pPr>
            <w:r>
              <w:rPr>
                <w:rFonts w:ascii="Calibri" w:cs="Calibri" w:eastAsia="Calibri" w:hAnsi="Calibri"/>
                <w:b/>
                <w:bCs/>
                <w:color w:val="1F4E79"/>
                <w:sz w:val="21"/>
                <w:szCs w:val="21"/>
              </w:rPr>
              <w:t xml:space="preserve">Phase 1 exit criteria</w:t>
            </w:r>
          </w:p>
          <w:p>
            <w:pPr>
              <w:spacing w:after="0"/>
            </w:pPr>
            <w:r>
              <w:rPr>
                <w:rFonts w:ascii="Calibri" w:cs="Calibri" w:eastAsia="Calibri" w:hAnsi="Calibri"/>
                <w:sz w:val="20"/>
                <w:szCs w:val="20"/>
              </w:rPr>
              <w:t xml:space="preserve">You can add a real property with its documents, add a real guest, and book a real stay on the calendar — with the system itself refusing to let you double-book a unit. That is the bar for calling Phase 1 done.</w:t>
            </w:r>
          </w:p>
        </w:tc>
      </w:tr>
    </w:tbl>
    <w:p>
      <w:r>
        <w:br w:type="page"/>
      </w:r>
    </w:p>
    <w:p>
      <w:pPr>
        <w:pStyle w:val="Heading1"/>
        <w:spacing w:after="160" w:before="320"/>
      </w:pPr>
      <w:r>
        <w:rPr>
          <w:rFonts w:ascii="Calibri" w:cs="Calibri" w:eastAsia="Calibri" w:hAnsi="Calibri"/>
          <w:b/>
          <w:bCs/>
          <w:color w:val="1F4E79"/>
          <w:sz w:val="30"/>
          <w:szCs w:val="30"/>
        </w:rPr>
        <w:t xml:space="preserve">6. Phase 2 — Money &amp; Compliance</w:t>
      </w:r>
    </w:p>
    <w:p>
      <w:pPr>
        <w:spacing w:after="120" w:line="276"/>
      </w:pPr>
      <w:r>
        <w:rPr>
          <w:rFonts w:ascii="Calibri" w:cs="Calibri" w:eastAsia="Calibri" w:hAnsi="Calibri"/>
          <w:sz w:val="21"/>
          <w:szCs w:val="21"/>
        </w:rPr>
        <w:t xml:space="preserve">This phase closes the two gaps flagged as most critical in the specification: the business becomes financially legible, and the Dubai compliance exposure (guest registration, Tourism Dirham, VAT) is closed.</w:t>
      </w:r>
    </w:p>
    <w:p>
      <w:pPr>
        <w:pStyle w:val="Heading2"/>
        <w:spacing w:after="120" w:before="240"/>
      </w:pPr>
      <w:r>
        <w:rPr>
          <w:rFonts w:ascii="Calibri" w:cs="Calibri" w:eastAsia="Calibri" w:hAnsi="Calibri"/>
          <w:b/>
          <w:bCs/>
          <w:color w:val="1F4E79"/>
          <w:sz w:val="24"/>
          <w:szCs w:val="24"/>
        </w:rPr>
        <w:t xml:space="preserve">6.1 Pricing</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900"/>
        <w:gridCol w:w="5226"/>
        <w:gridCol w:w="1900"/>
        <w:gridCol w:w="1000"/>
      </w:tblGrid>
      <w:tr>
        <w:trPr>
          <w:tblHeader/>
        </w:trPr>
        <w:tc>
          <w:tcPr>
            <w:tcW w:type="dxa" w:w="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w:t>
            </w:r>
          </w:p>
        </w:tc>
        <w:tc>
          <w:tcPr>
            <w:tcW w:type="dxa" w:w="52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Task</w:t>
            </w:r>
          </w:p>
        </w:tc>
        <w:tc>
          <w:tcPr>
            <w:tcW w:type="dxa" w:w="1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Depends on</w:t>
            </w:r>
          </w:p>
        </w:tc>
        <w:tc>
          <w:tcPr>
            <w:tcW w:type="dxa" w:w="10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Effort</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P2-1</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Rate plan data model: base rate, date-range overrides, weekend modifier, length-of-stay discounts, extra-guest fee, min/max stay</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P1-3</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P2-2</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Rate calendar screen per property</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P2-1</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P2-3</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Price breakdown calculation service (nights subtotal, fees, discounts) reused by the booking form and the guest-facing quote</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P2-1</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P2-4</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Wire the price breakdown into booking creation, replacing manual price entry</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P2-3, P1-20</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bl>
    <w:p>
      <w:pPr>
        <w:pStyle w:val="Heading2"/>
        <w:spacing w:after="120" w:before="240"/>
      </w:pPr>
      <w:r>
        <w:rPr>
          <w:rFonts w:ascii="Calibri" w:cs="Calibri" w:eastAsia="Calibri" w:hAnsi="Calibri"/>
          <w:b/>
          <w:bCs/>
          <w:color w:val="1F4E79"/>
          <w:sz w:val="24"/>
          <w:szCs w:val="24"/>
        </w:rPr>
        <w:t xml:space="preserve">6.2 Payments &amp; deposits</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900"/>
        <w:gridCol w:w="5226"/>
        <w:gridCol w:w="1900"/>
        <w:gridCol w:w="1000"/>
      </w:tblGrid>
      <w:tr>
        <w:trPr>
          <w:tblHeader/>
        </w:trPr>
        <w:tc>
          <w:tcPr>
            <w:tcW w:type="dxa" w:w="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w:t>
            </w:r>
          </w:p>
        </w:tc>
        <w:tc>
          <w:tcPr>
            <w:tcW w:type="dxa" w:w="52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Task</w:t>
            </w:r>
          </w:p>
        </w:tc>
        <w:tc>
          <w:tcPr>
            <w:tcW w:type="dxa" w:w="1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Depends on</w:t>
            </w:r>
          </w:p>
        </w:tc>
        <w:tc>
          <w:tcPr>
            <w:tcW w:type="dxa" w:w="10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Effort</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P2-5</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Payment data model: type, amount, currency, method, status, reference</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S0-3</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P2-6</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Manual payment recording screen (deposit, balance, refund) against a booking</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P2-5, P1-20</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P2-7</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Stripe integration: card payment collection for deposit and balance</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P2-5</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P2-8</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Security deposit lifecycle: authorise/collect, partial deduction with evidence attachment, release</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P2-5</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P2-9</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Cancellation policy engine: flexible/moderate/strict, automatic refund calculation</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P2-3, P2-5</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bl>
    <w:p>
      <w:pPr>
        <w:pStyle w:val="Heading2"/>
        <w:spacing w:after="120" w:before="240"/>
      </w:pPr>
      <w:r>
        <w:rPr>
          <w:rFonts w:ascii="Calibri" w:cs="Calibri" w:eastAsia="Calibri" w:hAnsi="Calibri"/>
          <w:b/>
          <w:bCs/>
          <w:color w:val="1F4E79"/>
          <w:sz w:val="24"/>
          <w:szCs w:val="24"/>
        </w:rPr>
        <w:t xml:space="preserve">6.3 Dubai compliance workflow</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900"/>
        <w:gridCol w:w="5226"/>
        <w:gridCol w:w="1900"/>
        <w:gridCol w:w="1000"/>
      </w:tblGrid>
      <w:tr>
        <w:trPr>
          <w:tblHeader/>
        </w:trPr>
        <w:tc>
          <w:tcPr>
            <w:tcW w:type="dxa" w:w="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w:t>
            </w:r>
          </w:p>
        </w:tc>
        <w:tc>
          <w:tcPr>
            <w:tcW w:type="dxa" w:w="52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Task</w:t>
            </w:r>
          </w:p>
        </w:tc>
        <w:tc>
          <w:tcPr>
            <w:tcW w:type="dxa" w:w="1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Depends on</w:t>
            </w:r>
          </w:p>
        </w:tc>
        <w:tc>
          <w:tcPr>
            <w:tcW w:type="dxa" w:w="10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Effort</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P2-10</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Compliance task data model (generic, covers guest registration and permit renewal per spec section 5.1)</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P1-9</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P2-11</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Auto-create a guest-registration compliance task on booking confirmation, with a configurable deadline (default 3 hours per the spec's stricter reading)</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P2-10, P1-18</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P2-12</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Guest registration screen: assembles guest documents in one view, countdown to deadline, mark-submitted with DET confirmation reference</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P2-11, P1-15</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P2-13</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Tourism Dirham accrual: computed per booking from occupied bedrooms × nights × unit classification rate</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P2-3, P1-3</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P2-14</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Monthly Tourism Dirham filing report (exportable)</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P2-13</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P2-15</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VAT calculation on bookings where registered; rolling 12-month turnover tracker with threshold warning</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P2-3</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P2-16</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Tax invoice generation (PDF) meeting FTA formatting requirements</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P2-15</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bl>
    <w:p>
      <w:pPr>
        <w:pStyle w:val="Heading2"/>
        <w:spacing w:after="120" w:before="240"/>
      </w:pPr>
      <w:r>
        <w:rPr>
          <w:rFonts w:ascii="Calibri" w:cs="Calibri" w:eastAsia="Calibri" w:hAnsi="Calibri"/>
          <w:b/>
          <w:bCs/>
          <w:color w:val="1F4E79"/>
          <w:sz w:val="24"/>
          <w:szCs w:val="24"/>
        </w:rPr>
        <w:t xml:space="preserve">6.4 Expenses &amp; notifications</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900"/>
        <w:gridCol w:w="5226"/>
        <w:gridCol w:w="1900"/>
        <w:gridCol w:w="1000"/>
      </w:tblGrid>
      <w:tr>
        <w:trPr>
          <w:tblHeader/>
        </w:trPr>
        <w:tc>
          <w:tcPr>
            <w:tcW w:type="dxa" w:w="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w:t>
            </w:r>
          </w:p>
        </w:tc>
        <w:tc>
          <w:tcPr>
            <w:tcW w:type="dxa" w:w="52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Task</w:t>
            </w:r>
          </w:p>
        </w:tc>
        <w:tc>
          <w:tcPr>
            <w:tcW w:type="dxa" w:w="1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Depends on</w:t>
            </w:r>
          </w:p>
        </w:tc>
        <w:tc>
          <w:tcPr>
            <w:tcW w:type="dxa" w:w="10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Effort</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P2-17</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Expense data model and per-property tracking screen, categorised, with recurring templates</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P1-3</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P2-18</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Notification service: email via Resend wired to booking, payment and deadline events</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S0-2</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P2-19</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WhatsApp notifications for guest and staff-facing alerts (arrivals, cleaning, urgent maintenance)</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P2-18</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P2-20</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Deploy to staging; walkthrough; collect feedback before Phase 3</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P2-1..P2-19</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bl>
    <w:p>
      <w:r>
        <w:br w:type="page"/>
      </w:r>
    </w:p>
    <w:p>
      <w:pPr>
        <w:pStyle w:val="Heading1"/>
        <w:spacing w:after="160" w:before="320"/>
      </w:pPr>
      <w:r>
        <w:rPr>
          <w:rFonts w:ascii="Calibri" w:cs="Calibri" w:eastAsia="Calibri" w:hAnsi="Calibri"/>
          <w:b/>
          <w:bCs/>
          <w:color w:val="1F4E79"/>
          <w:sz w:val="30"/>
          <w:szCs w:val="30"/>
        </w:rPr>
        <w:t xml:space="preserve">7. Phase 3 — Operations</w:t>
      </w:r>
    </w:p>
    <w:p>
      <w:pPr>
        <w:spacing w:after="120" w:line="276"/>
      </w:pPr>
      <w:r>
        <w:rPr>
          <w:rFonts w:ascii="Calibri" w:cs="Calibri" w:eastAsia="Calibri" w:hAnsi="Calibri"/>
          <w:sz w:val="21"/>
          <w:szCs w:val="21"/>
        </w:rPr>
        <w:t xml:space="preserve">Day-to-day running of the properties moves into the system, out of messaging apps and memory.</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900"/>
        <w:gridCol w:w="5226"/>
        <w:gridCol w:w="1900"/>
        <w:gridCol w:w="1000"/>
      </w:tblGrid>
      <w:tr>
        <w:trPr>
          <w:tblHeader/>
        </w:trPr>
        <w:tc>
          <w:tcPr>
            <w:tcW w:type="dxa" w:w="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w:t>
            </w:r>
          </w:p>
        </w:tc>
        <w:tc>
          <w:tcPr>
            <w:tcW w:type="dxa" w:w="52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Task</w:t>
            </w:r>
          </w:p>
        </w:tc>
        <w:tc>
          <w:tcPr>
            <w:tcW w:type="dxa" w:w="19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Depends on</w:t>
            </w:r>
          </w:p>
        </w:tc>
        <w:tc>
          <w:tcPr>
            <w:tcW w:type="dxa" w:w="10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Effort</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P3-1</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Work order data model and lifecycle (reported → triaged → assigned → in progress → resolved → verified → closed)</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P1-3</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P3-2</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Work order screens with photo evidence upload and cost capture, posting cost to the expense ledger</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P3-1, P2-17</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P3-3</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Vendor directory: CRUD, trade, rate, contact, response time</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S0-3</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P3-4</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Preventive maintenance schedule model and auto-generated recurring work orders (AC servicing, pest control, etc. per spec section 4.7)</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P3-1</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P3-5</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Asset &amp; inventory register per property, with warranty tracking</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P1-3</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P3-6</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Housekeeping: auto-generated cleaning task on checkout, assignment, mobile checklist, completion sign-off with photos</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P1-20</w:t>
            </w:r>
          </w:p>
        </w:tc>
        <w:tc>
          <w:tcPr>
            <w:tcW w:type="dxa" w:w="1000"/>
            <w:shd w:fill="FCE4B0" w:val="clear"/>
            <w:tcMar>
              <w:top w:type="dxa" w:w="80"/>
              <w:left w:type="dxa" w:w="120"/>
              <w:bottom w:type="dxa" w:w="80"/>
              <w:right w:type="dxa" w:w="120"/>
            </w:tcMar>
          </w:tcPr>
          <w:p>
            <w:pPr>
              <w:spacing w:after="0" w:line="246"/>
            </w:pPr>
            <w:r>
              <w:rPr>
                <w:rFonts w:ascii="Calibri" w:cs="Calibri" w:eastAsia="Calibri" w:hAnsi="Calibri"/>
                <w:sz w:val="18"/>
                <w:szCs w:val="18"/>
              </w:rPr>
              <w:t xml:space="preserve">M</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P3-7</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Guest messaging templates (pre-arrival, check-in, checkout) and communication log</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P2-18</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r>
        <w:tc>
          <w:tcPr>
            <w:tcW w:type="dxa" w:w="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P3-8</w:t>
            </w:r>
          </w:p>
        </w:tc>
        <w:tc>
          <w:tcPr>
            <w:tcW w:type="dxa" w:w="5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Reporting suite: occupancy rate, ADR, RevPAR, per-unit revenue/expense/profit, channel performance</w:t>
            </w:r>
          </w:p>
        </w:tc>
        <w:tc>
          <w:tcPr>
            <w:tcW w:type="dxa" w:w="19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P2-17, P1-20</w:t>
            </w:r>
          </w:p>
        </w:tc>
        <w:tc>
          <w:tcPr>
            <w:tcW w:type="dxa" w:w="10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L</w:t>
            </w:r>
          </w:p>
        </w:tc>
      </w:tr>
      <w:tr>
        <w:tc>
          <w:tcPr>
            <w:tcW w:type="dxa" w:w="900"/>
            <w:tcMar>
              <w:top w:type="dxa" w:w="80"/>
              <w:left w:type="dxa" w:w="120"/>
              <w:bottom w:type="dxa" w:w="80"/>
              <w:right w:type="dxa" w:w="120"/>
            </w:tcMar>
          </w:tcPr>
          <w:p>
            <w:pPr>
              <w:spacing w:after="0" w:line="246"/>
            </w:pPr>
            <w:r>
              <w:rPr>
                <w:rFonts w:ascii="Calibri" w:cs="Calibri" w:eastAsia="Calibri" w:hAnsi="Calibri"/>
                <w:sz w:val="18"/>
                <w:szCs w:val="18"/>
              </w:rPr>
              <w:t xml:space="preserve">P3-9</w:t>
            </w:r>
          </w:p>
        </w:tc>
        <w:tc>
          <w:tcPr>
            <w:tcW w:type="dxa" w:w="5226"/>
            <w:tcMar>
              <w:top w:type="dxa" w:w="80"/>
              <w:left w:type="dxa" w:w="120"/>
              <w:bottom w:type="dxa" w:w="80"/>
              <w:right w:type="dxa" w:w="120"/>
            </w:tcMar>
          </w:tcPr>
          <w:p>
            <w:pPr>
              <w:spacing w:after="0" w:line="246"/>
            </w:pPr>
            <w:r>
              <w:rPr>
                <w:rFonts w:ascii="Calibri" w:cs="Calibri" w:eastAsia="Calibri" w:hAnsi="Calibri"/>
                <w:sz w:val="18"/>
                <w:szCs w:val="18"/>
              </w:rPr>
              <w:t xml:space="preserve">Deploy to staging; walkthrough; collect feedback before Phase 4</w:t>
            </w:r>
          </w:p>
        </w:tc>
        <w:tc>
          <w:tcPr>
            <w:tcW w:type="dxa" w:w="1900"/>
            <w:tcMar>
              <w:top w:type="dxa" w:w="80"/>
              <w:left w:type="dxa" w:w="120"/>
              <w:bottom w:type="dxa" w:w="80"/>
              <w:right w:type="dxa" w:w="120"/>
            </w:tcMar>
          </w:tcPr>
          <w:p>
            <w:pPr>
              <w:spacing w:after="0" w:line="246"/>
            </w:pPr>
            <w:r>
              <w:rPr>
                <w:rFonts w:ascii="Calibri" w:cs="Calibri" w:eastAsia="Calibri" w:hAnsi="Calibri"/>
                <w:sz w:val="18"/>
                <w:szCs w:val="18"/>
              </w:rPr>
              <w:t xml:space="preserve">P3-1..P3-8</w:t>
            </w:r>
          </w:p>
        </w:tc>
        <w:tc>
          <w:tcPr>
            <w:tcW w:type="dxa" w:w="1000"/>
            <w:shd w:fill="D9EAD3" w:val="clear"/>
            <w:tcMar>
              <w:top w:type="dxa" w:w="80"/>
              <w:left w:type="dxa" w:w="120"/>
              <w:bottom w:type="dxa" w:w="80"/>
              <w:right w:type="dxa" w:w="120"/>
            </w:tcMar>
          </w:tcPr>
          <w:p>
            <w:pPr>
              <w:spacing w:after="0" w:line="246"/>
            </w:pPr>
            <w:r>
              <w:rPr>
                <w:rFonts w:ascii="Calibri" w:cs="Calibri" w:eastAsia="Calibri" w:hAnsi="Calibri"/>
                <w:sz w:val="18"/>
                <w:szCs w:val="18"/>
              </w:rPr>
              <w:t xml:space="preserve">S</w:t>
            </w:r>
          </w:p>
        </w:tc>
      </w:tr>
    </w:tbl>
    <w:p>
      <w:r>
        <w:br w:type="page"/>
      </w:r>
    </w:p>
    <w:p>
      <w:pPr>
        <w:pStyle w:val="Heading1"/>
        <w:spacing w:after="160" w:before="320"/>
      </w:pPr>
      <w:r>
        <w:rPr>
          <w:rFonts w:ascii="Calibri" w:cs="Calibri" w:eastAsia="Calibri" w:hAnsi="Calibri"/>
          <w:b/>
          <w:bCs/>
          <w:color w:val="1F4E79"/>
          <w:sz w:val="30"/>
          <w:szCs w:val="30"/>
        </w:rPr>
        <w:t xml:space="preserve">8. Phase 4 — Optimisation (later, indicative only)</w:t>
      </w:r>
    </w:p>
    <w:p>
      <w:pPr>
        <w:spacing w:after="120" w:line="276"/>
      </w:pPr>
      <w:r>
        <w:rPr>
          <w:rFonts w:ascii="Calibri" w:cs="Calibri" w:eastAsia="Calibri" w:hAnsi="Calibri"/>
          <w:sz w:val="21"/>
          <w:szCs w:val="21"/>
        </w:rPr>
        <w:t xml:space="preserve">Not broken into individual tasks yet — these are larger, lower-urgency items best scoped once Phases 1–3 are live and real usage shows which of these actually pays for itself.</w:t>
      </w:r>
    </w:p>
    <w:p>
      <w:pPr>
        <w:pStyle w:val="ListParagraph"/>
        <w:numPr>
          <w:ilvl w:val="0"/>
          <w:numId w:val="2"/>
        </w:numPr>
        <w:spacing w:after="60" w:line="276"/>
      </w:pPr>
      <w:r>
        <w:rPr>
          <w:rFonts w:ascii="Calibri" w:cs="Calibri" w:eastAsia="Calibri" w:hAnsi="Calibri"/>
          <w:sz w:val="21"/>
          <w:szCs w:val="21"/>
        </w:rPr>
        <w:t xml:space="preserve">Direct Airbnb/Booking.com API integration, replacing iCal sync with live rates, availability and guest data</w:t>
      </w:r>
    </w:p>
    <w:p>
      <w:pPr>
        <w:pStyle w:val="ListParagraph"/>
        <w:numPr>
          <w:ilvl w:val="0"/>
          <w:numId w:val="2"/>
        </w:numPr>
        <w:spacing w:after="60" w:line="276"/>
      </w:pPr>
      <w:r>
        <w:rPr>
          <w:rFonts w:ascii="Calibri" w:cs="Calibri" w:eastAsia="Calibri" w:hAnsi="Calibri"/>
          <w:sz w:val="21"/>
          <w:szCs w:val="21"/>
        </w:rPr>
        <w:t xml:space="preserve">Smart lock integration for automatic per-booking access codes</w:t>
      </w:r>
    </w:p>
    <w:p>
      <w:pPr>
        <w:pStyle w:val="ListParagraph"/>
        <w:numPr>
          <w:ilvl w:val="0"/>
          <w:numId w:val="2"/>
        </w:numPr>
        <w:spacing w:after="60" w:line="276"/>
      </w:pPr>
      <w:r>
        <w:rPr>
          <w:rFonts w:ascii="Calibri" w:cs="Calibri" w:eastAsia="Calibri" w:hAnsi="Calibri"/>
          <w:sz w:val="21"/>
          <w:szCs w:val="21"/>
        </w:rPr>
        <w:t xml:space="preserve">Dynamic pricing suggestions based on demand and lead time</w:t>
      </w:r>
    </w:p>
    <w:p>
      <w:pPr>
        <w:pStyle w:val="ListParagraph"/>
        <w:numPr>
          <w:ilvl w:val="0"/>
          <w:numId w:val="2"/>
        </w:numPr>
        <w:spacing w:after="60" w:line="276"/>
      </w:pPr>
      <w:r>
        <w:rPr>
          <w:rFonts w:ascii="Calibri" w:cs="Calibri" w:eastAsia="Calibri" w:hAnsi="Calibri"/>
          <w:sz w:val="21"/>
          <w:szCs w:val="21"/>
        </w:rPr>
        <w:t xml:space="preserve">Guest-facing portal for booking details and check-in instructions</w:t>
      </w:r>
    </w:p>
    <w:p>
      <w:pPr>
        <w:pStyle w:val="ListParagraph"/>
        <w:numPr>
          <w:ilvl w:val="0"/>
          <w:numId w:val="2"/>
        </w:numPr>
        <w:spacing w:after="60" w:line="276"/>
      </w:pPr>
      <w:r>
        <w:rPr>
          <w:rFonts w:ascii="Calibri" w:cs="Calibri" w:eastAsia="Calibri" w:hAnsi="Calibri"/>
          <w:sz w:val="21"/>
          <w:szCs w:val="21"/>
        </w:rPr>
        <w:t xml:space="preserve">Owner portal, if you later manage units for other people</w:t>
      </w:r>
    </w:p>
    <w:p>
      <w:pPr>
        <w:pStyle w:val="ListParagraph"/>
        <w:numPr>
          <w:ilvl w:val="0"/>
          <w:numId w:val="2"/>
        </w:numPr>
        <w:spacing w:after="60" w:line="276"/>
      </w:pPr>
      <w:r>
        <w:rPr>
          <w:rFonts w:ascii="Calibri" w:cs="Calibri" w:eastAsia="Calibri" w:hAnsi="Calibri"/>
          <w:sz w:val="21"/>
          <w:szCs w:val="21"/>
        </w:rPr>
        <w:t xml:space="preserve">Arabic language and right-to-left layout support</w:t>
      </w:r>
    </w:p>
    <w:p>
      <w:pPr>
        <w:pStyle w:val="ListParagraph"/>
        <w:numPr>
          <w:ilvl w:val="0"/>
          <w:numId w:val="2"/>
        </w:numPr>
        <w:spacing w:after="60" w:line="276"/>
      </w:pPr>
      <w:r>
        <w:rPr>
          <w:rFonts w:ascii="Calibri" w:cs="Calibri" w:eastAsia="Calibri" w:hAnsi="Calibri"/>
          <w:sz w:val="21"/>
          <w:szCs w:val="21"/>
        </w:rPr>
        <w:t xml:space="preserve">Accounting package integration or export</w:t>
      </w:r>
    </w:p>
    <w:p>
      <w:r>
        <w:br w:type="page"/>
      </w:r>
    </w:p>
    <w:p>
      <w:pPr>
        <w:pStyle w:val="Heading1"/>
        <w:spacing w:after="160" w:before="320"/>
      </w:pPr>
      <w:r>
        <w:rPr>
          <w:rFonts w:ascii="Calibri" w:cs="Calibri" w:eastAsia="Calibri" w:hAnsi="Calibri"/>
          <w:b/>
          <w:bCs/>
          <w:color w:val="1F4E79"/>
          <w:sz w:val="30"/>
          <w:szCs w:val="30"/>
        </w:rPr>
        <w:t xml:space="preserve">9. Effort Summary</w:t>
      </w:r>
    </w:p>
    <w:p>
      <w:pPr>
        <w:spacing w:after="120" w:line="276"/>
      </w:pPr>
      <w:r>
        <w:rPr>
          <w:rFonts w:ascii="Calibri" w:cs="Calibri" w:eastAsia="Calibri" w:hAnsi="Calibri"/>
          <w:sz w:val="21"/>
          <w:szCs w:val="21"/>
        </w:rPr>
        <w:t xml:space="preserve">Rough planning ranges only, for one developer working alone. S ≈ 0.5–1.5 days, M ≈ 2–4 days, L ≈ 5+ days.</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3200"/>
        <w:gridCol w:w="2400"/>
        <w:gridCol w:w="3426"/>
      </w:tblGrid>
      <w:tr>
        <w:trPr>
          <w:tblHeader/>
        </w:trPr>
        <w:tc>
          <w:tcPr>
            <w:tcW w:type="dxa" w:w="32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Phase</w:t>
            </w:r>
          </w:p>
        </w:tc>
        <w:tc>
          <w:tcPr>
            <w:tcW w:type="dxa" w:w="24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Task count</w:t>
            </w:r>
          </w:p>
        </w:tc>
        <w:tc>
          <w:tcPr>
            <w:tcW w:type="dxa" w:w="34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Indicative duration</w:t>
            </w:r>
          </w:p>
        </w:tc>
      </w:tr>
      <w:tr>
        <w:tc>
          <w:tcPr>
            <w:tcW w:type="dxa" w:w="3200"/>
            <w:tcMar>
              <w:top w:type="dxa" w:w="80"/>
              <w:left w:type="dxa" w:w="120"/>
              <w:bottom w:type="dxa" w:w="80"/>
              <w:right w:type="dxa" w:w="120"/>
            </w:tcMar>
          </w:tcPr>
          <w:p>
            <w:pPr>
              <w:spacing w:after="0" w:line="246"/>
            </w:pPr>
            <w:r>
              <w:rPr>
                <w:rFonts w:ascii="Calibri" w:cs="Calibri" w:eastAsia="Calibri" w:hAnsi="Calibri"/>
                <w:sz w:val="18"/>
                <w:szCs w:val="18"/>
              </w:rPr>
              <w:t xml:space="preserve">One-time setup</w:t>
            </w:r>
          </w:p>
        </w:tc>
        <w:tc>
          <w:tcPr>
            <w:tcW w:type="dxa" w:w="2400"/>
            <w:tcMar>
              <w:top w:type="dxa" w:w="80"/>
              <w:left w:type="dxa" w:w="120"/>
              <w:bottom w:type="dxa" w:w="80"/>
              <w:right w:type="dxa" w:w="120"/>
            </w:tcMar>
          </w:tcPr>
          <w:p>
            <w:pPr>
              <w:spacing w:after="0" w:line="246"/>
            </w:pPr>
            <w:r>
              <w:rPr>
                <w:rFonts w:ascii="Calibri" w:cs="Calibri" w:eastAsia="Calibri" w:hAnsi="Calibri"/>
                <w:sz w:val="18"/>
                <w:szCs w:val="18"/>
              </w:rPr>
              <w:t xml:space="preserve">6 tasks</w:t>
            </w:r>
          </w:p>
        </w:tc>
        <w:tc>
          <w:tcPr>
            <w:tcW w:type="dxa" w:w="3426"/>
            <w:tcMar>
              <w:top w:type="dxa" w:w="80"/>
              <w:left w:type="dxa" w:w="120"/>
              <w:bottom w:type="dxa" w:w="80"/>
              <w:right w:type="dxa" w:w="120"/>
            </w:tcMar>
          </w:tcPr>
          <w:p>
            <w:pPr>
              <w:spacing w:after="0" w:line="246"/>
            </w:pPr>
            <w:r>
              <w:rPr>
                <w:rFonts w:ascii="Calibri" w:cs="Calibri" w:eastAsia="Calibri" w:hAnsi="Calibri"/>
                <w:sz w:val="18"/>
                <w:szCs w:val="18"/>
              </w:rPr>
              <w:t xml:space="preserve">1–1.5 weeks</w:t>
            </w:r>
          </w:p>
        </w:tc>
      </w:tr>
      <w:tr>
        <w:tc>
          <w:tcPr>
            <w:tcW w:type="dxa" w:w="32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Phase 1 — Core system</w:t>
            </w:r>
          </w:p>
        </w:tc>
        <w:tc>
          <w:tcPr>
            <w:tcW w:type="dxa" w:w="24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28 tasks</w:t>
            </w:r>
          </w:p>
        </w:tc>
        <w:tc>
          <w:tcPr>
            <w:tcW w:type="dxa" w:w="34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5–7 weeks</w:t>
            </w:r>
          </w:p>
        </w:tc>
      </w:tr>
      <w:tr>
        <w:tc>
          <w:tcPr>
            <w:tcW w:type="dxa" w:w="3200"/>
            <w:tcMar>
              <w:top w:type="dxa" w:w="80"/>
              <w:left w:type="dxa" w:w="120"/>
              <w:bottom w:type="dxa" w:w="80"/>
              <w:right w:type="dxa" w:w="120"/>
            </w:tcMar>
          </w:tcPr>
          <w:p>
            <w:pPr>
              <w:spacing w:after="0" w:line="246"/>
            </w:pPr>
            <w:r>
              <w:rPr>
                <w:rFonts w:ascii="Calibri" w:cs="Calibri" w:eastAsia="Calibri" w:hAnsi="Calibri"/>
                <w:sz w:val="18"/>
                <w:szCs w:val="18"/>
              </w:rPr>
              <w:t xml:space="preserve">Phase 2 — Money &amp; compliance</w:t>
            </w:r>
          </w:p>
        </w:tc>
        <w:tc>
          <w:tcPr>
            <w:tcW w:type="dxa" w:w="2400"/>
            <w:tcMar>
              <w:top w:type="dxa" w:w="80"/>
              <w:left w:type="dxa" w:w="120"/>
              <w:bottom w:type="dxa" w:w="80"/>
              <w:right w:type="dxa" w:w="120"/>
            </w:tcMar>
          </w:tcPr>
          <w:p>
            <w:pPr>
              <w:spacing w:after="0" w:line="246"/>
            </w:pPr>
            <w:r>
              <w:rPr>
                <w:rFonts w:ascii="Calibri" w:cs="Calibri" w:eastAsia="Calibri" w:hAnsi="Calibri"/>
                <w:sz w:val="18"/>
                <w:szCs w:val="18"/>
              </w:rPr>
              <w:t xml:space="preserve">20 tasks</w:t>
            </w:r>
          </w:p>
        </w:tc>
        <w:tc>
          <w:tcPr>
            <w:tcW w:type="dxa" w:w="3426"/>
            <w:tcMar>
              <w:top w:type="dxa" w:w="80"/>
              <w:left w:type="dxa" w:w="120"/>
              <w:bottom w:type="dxa" w:w="80"/>
              <w:right w:type="dxa" w:w="120"/>
            </w:tcMar>
          </w:tcPr>
          <w:p>
            <w:pPr>
              <w:spacing w:after="0" w:line="246"/>
            </w:pPr>
            <w:r>
              <w:rPr>
                <w:rFonts w:ascii="Calibri" w:cs="Calibri" w:eastAsia="Calibri" w:hAnsi="Calibri"/>
                <w:sz w:val="18"/>
                <w:szCs w:val="18"/>
              </w:rPr>
              <w:t xml:space="preserve">5–7 weeks</w:t>
            </w:r>
          </w:p>
        </w:tc>
      </w:tr>
      <w:tr>
        <w:tc>
          <w:tcPr>
            <w:tcW w:type="dxa" w:w="32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Phase 3 — Operations</w:t>
            </w:r>
          </w:p>
        </w:tc>
        <w:tc>
          <w:tcPr>
            <w:tcW w:type="dxa" w:w="24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9 tasks</w:t>
            </w:r>
          </w:p>
        </w:tc>
        <w:tc>
          <w:tcPr>
            <w:tcW w:type="dxa" w:w="34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3–4 weeks</w:t>
            </w:r>
          </w:p>
        </w:tc>
      </w:tr>
      <w:tr>
        <w:tc>
          <w:tcPr>
            <w:tcW w:type="dxa" w:w="3200"/>
            <w:tcMar>
              <w:top w:type="dxa" w:w="80"/>
              <w:left w:type="dxa" w:w="120"/>
              <w:bottom w:type="dxa" w:w="80"/>
              <w:right w:type="dxa" w:w="120"/>
            </w:tcMar>
          </w:tcPr>
          <w:p>
            <w:pPr>
              <w:spacing w:after="0" w:line="246"/>
            </w:pPr>
            <w:r>
              <w:rPr>
                <w:rFonts w:ascii="Calibri" w:cs="Calibri" w:eastAsia="Calibri" w:hAnsi="Calibri"/>
                <w:sz w:val="18"/>
                <w:szCs w:val="18"/>
              </w:rPr>
              <w:t xml:space="preserve">Phase 4 — Optimisation</w:t>
            </w:r>
          </w:p>
        </w:tc>
        <w:tc>
          <w:tcPr>
            <w:tcW w:type="dxa" w:w="2400"/>
            <w:tcMar>
              <w:top w:type="dxa" w:w="80"/>
              <w:left w:type="dxa" w:w="120"/>
              <w:bottom w:type="dxa" w:w="80"/>
              <w:right w:type="dxa" w:w="120"/>
            </w:tcMar>
          </w:tcPr>
          <w:p>
            <w:pPr>
              <w:spacing w:after="0" w:line="246"/>
            </w:pPr>
            <w:r>
              <w:rPr>
                <w:rFonts w:ascii="Calibri" w:cs="Calibri" w:eastAsia="Calibri" w:hAnsi="Calibri"/>
                <w:sz w:val="18"/>
                <w:szCs w:val="18"/>
              </w:rPr>
              <w:t xml:space="preserve">Scoped later</w:t>
            </w:r>
          </w:p>
        </w:tc>
        <w:tc>
          <w:tcPr>
            <w:tcW w:type="dxa" w:w="3426"/>
            <w:tcMar>
              <w:top w:type="dxa" w:w="80"/>
              <w:left w:type="dxa" w:w="120"/>
              <w:bottom w:type="dxa" w:w="80"/>
              <w:right w:type="dxa" w:w="120"/>
            </w:tcMar>
          </w:tcPr>
          <w:p>
            <w:pPr>
              <w:spacing w:after="0" w:line="246"/>
            </w:pPr>
            <w:r>
              <w:rPr>
                <w:rFonts w:ascii="Calibri" w:cs="Calibri" w:eastAsia="Calibri" w:hAnsi="Calibri"/>
                <w:sz w:val="18"/>
                <w:szCs w:val="18"/>
              </w:rPr>
              <w:t xml:space="preserve">Ongoing, as needed</w:t>
            </w:r>
          </w:p>
        </w:tc>
      </w:tr>
    </w:tbl>
    <w:p>
      <w:pPr>
        <w:spacing w:after="120" w:line="276"/>
      </w:pPr>
      <w:r>
        <w:rPr>
          <w:rFonts w:ascii="Calibri" w:cs="Calibri" w:eastAsia="Calibri" w:hAnsi="Calibri"/>
          <w:sz w:val="21"/>
          <w:szCs w:val="21"/>
        </w:rPr>
        <w:t xml:space="preserve">Phases 1–3 together are roughly 13–18 weeks for one developer. This is longer than the specification's original per-phase estimates because this plan breaks work down to individual, independently reviewable tasks rather than phase-level totals — the underlying scope is unchanged.</w:t>
      </w:r>
    </w:p>
    <w:p>
      <w:r>
        <w:br w:type="page"/>
      </w:r>
    </w:p>
    <w:p>
      <w:pPr>
        <w:pStyle w:val="Heading1"/>
        <w:spacing w:after="160" w:before="320"/>
      </w:pPr>
      <w:r>
        <w:rPr>
          <w:rFonts w:ascii="Calibri" w:cs="Calibri" w:eastAsia="Calibri" w:hAnsi="Calibri"/>
          <w:b/>
          <w:bCs/>
          <w:color w:val="1F4E79"/>
          <w:sz w:val="30"/>
          <w:szCs w:val="30"/>
        </w:rPr>
        <w:t xml:space="preserve">10. Open Decisions Before Starting</w:t>
      </w:r>
    </w:p>
    <w:p>
      <w:pPr>
        <w:spacing w:after="120" w:line="276"/>
      </w:pPr>
      <w:r>
        <w:rPr>
          <w:rFonts w:ascii="Calibri" w:cs="Calibri" w:eastAsia="Calibri" w:hAnsi="Calibri"/>
          <w:sz w:val="21"/>
          <w:szCs w:val="21"/>
        </w:rPr>
        <w:t xml:space="preserve">These affect the plan above and are worth settling before S0-1 starts.</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500"/>
        <w:gridCol w:w="5300"/>
        <w:gridCol w:w="3226"/>
      </w:tblGrid>
      <w:tr>
        <w:trPr>
          <w:tblHeader/>
        </w:trPr>
        <w:tc>
          <w:tcPr>
            <w:tcW w:type="dxa" w:w="5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w:t>
            </w:r>
          </w:p>
        </w:tc>
        <w:tc>
          <w:tcPr>
            <w:tcW w:type="dxa" w:w="5300"/>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Question</w:t>
            </w:r>
          </w:p>
        </w:tc>
        <w:tc>
          <w:tcPr>
            <w:tcW w:type="dxa" w:w="3226"/>
            <w:shd w:fill="1F4E79" w:val="clear"/>
            <w:tcMar>
              <w:top w:type="dxa" w:w="80"/>
              <w:left w:type="dxa" w:w="120"/>
              <w:bottom w:type="dxa" w:w="80"/>
              <w:right w:type="dxa" w:w="120"/>
            </w:tcMar>
          </w:tcPr>
          <w:p>
            <w:pPr>
              <w:spacing w:after="0" w:line="246"/>
            </w:pPr>
            <w:r>
              <w:rPr>
                <w:rFonts w:ascii="Calibri" w:cs="Calibri" w:eastAsia="Calibri" w:hAnsi="Calibri"/>
                <w:b/>
                <w:bCs/>
                <w:color w:val="FFFFFF"/>
                <w:sz w:val="18"/>
                <w:szCs w:val="18"/>
              </w:rPr>
              <w:t xml:space="preserve">Affects</w:t>
            </w:r>
          </w:p>
        </w:tc>
      </w:tr>
      <w:tr>
        <w:tc>
          <w:tcPr>
            <w:tcW w:type="dxa" w:w="500"/>
            <w:tcMar>
              <w:top w:type="dxa" w:w="80"/>
              <w:left w:type="dxa" w:w="120"/>
              <w:bottom w:type="dxa" w:w="80"/>
              <w:right w:type="dxa" w:w="120"/>
            </w:tcMar>
          </w:tcPr>
          <w:p>
            <w:pPr>
              <w:spacing w:after="0" w:line="246"/>
            </w:pPr>
            <w:r>
              <w:rPr>
                <w:rFonts w:ascii="Calibri" w:cs="Calibri" w:eastAsia="Calibri" w:hAnsi="Calibri"/>
                <w:sz w:val="18"/>
                <w:szCs w:val="18"/>
              </w:rPr>
              <w:t xml:space="preserve">1</w:t>
            </w:r>
          </w:p>
        </w:tc>
        <w:tc>
          <w:tcPr>
            <w:tcW w:type="dxa" w:w="5300"/>
            <w:tcMar>
              <w:top w:type="dxa" w:w="80"/>
              <w:left w:type="dxa" w:w="120"/>
              <w:bottom w:type="dxa" w:w="80"/>
              <w:right w:type="dxa" w:w="120"/>
            </w:tcMar>
          </w:tcPr>
          <w:p>
            <w:pPr>
              <w:spacing w:after="0" w:line="246"/>
            </w:pPr>
            <w:r>
              <w:rPr>
                <w:rFonts w:ascii="Calibri" w:cs="Calibri" w:eastAsia="Calibri" w:hAnsi="Calibri"/>
                <w:sz w:val="18"/>
                <w:szCs w:val="18"/>
              </w:rPr>
              <w:t xml:space="preserve">Approve the Supabase + Next.js + Vercel stack, or prefer an alternative (e.g. a different managed Postgres provider, self-hosted)?</w:t>
            </w:r>
          </w:p>
        </w:tc>
        <w:tc>
          <w:tcPr>
            <w:tcW w:type="dxa" w:w="3226"/>
            <w:tcMar>
              <w:top w:type="dxa" w:w="80"/>
              <w:left w:type="dxa" w:w="120"/>
              <w:bottom w:type="dxa" w:w="80"/>
              <w:right w:type="dxa" w:w="120"/>
            </w:tcMar>
          </w:tcPr>
          <w:p>
            <w:pPr>
              <w:spacing w:after="0" w:line="246"/>
            </w:pPr>
            <w:r>
              <w:rPr>
                <w:rFonts w:ascii="Calibri" w:cs="Calibri" w:eastAsia="Calibri" w:hAnsi="Calibri"/>
                <w:sz w:val="18"/>
                <w:szCs w:val="18"/>
              </w:rPr>
              <w:t xml:space="preserve">Every task in section 4 onward</w:t>
            </w:r>
          </w:p>
        </w:tc>
      </w:tr>
      <w:tr>
        <w:tc>
          <w:tcPr>
            <w:tcW w:type="dxa" w:w="5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2</w:t>
            </w:r>
          </w:p>
        </w:tc>
        <w:tc>
          <w:tcPr>
            <w:tcW w:type="dxa" w:w="53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Stripe, a UAE-local gateway, or both?</w:t>
            </w:r>
          </w:p>
        </w:tc>
        <w:tc>
          <w:tcPr>
            <w:tcW w:type="dxa" w:w="3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P2-7</w:t>
            </w:r>
          </w:p>
        </w:tc>
      </w:tr>
      <w:tr>
        <w:tc>
          <w:tcPr>
            <w:tcW w:type="dxa" w:w="500"/>
            <w:tcMar>
              <w:top w:type="dxa" w:w="80"/>
              <w:left w:type="dxa" w:w="120"/>
              <w:bottom w:type="dxa" w:w="80"/>
              <w:right w:type="dxa" w:w="120"/>
            </w:tcMar>
          </w:tcPr>
          <w:p>
            <w:pPr>
              <w:spacing w:after="0" w:line="246"/>
            </w:pPr>
            <w:r>
              <w:rPr>
                <w:rFonts w:ascii="Calibri" w:cs="Calibri" w:eastAsia="Calibri" w:hAnsi="Calibri"/>
                <w:sz w:val="18"/>
                <w:szCs w:val="18"/>
              </w:rPr>
              <w:t xml:space="preserve">3</w:t>
            </w:r>
          </w:p>
        </w:tc>
        <w:tc>
          <w:tcPr>
            <w:tcW w:type="dxa" w:w="5300"/>
            <w:tcMar>
              <w:top w:type="dxa" w:w="80"/>
              <w:left w:type="dxa" w:w="120"/>
              <w:bottom w:type="dxa" w:w="80"/>
              <w:right w:type="dxa" w:w="120"/>
            </w:tcMar>
          </w:tcPr>
          <w:p>
            <w:pPr>
              <w:spacing w:after="0" w:line="246"/>
            </w:pPr>
            <w:r>
              <w:rPr>
                <w:rFonts w:ascii="Calibri" w:cs="Calibri" w:eastAsia="Calibri" w:hAnsi="Calibri"/>
                <w:sz w:val="18"/>
                <w:szCs w:val="18"/>
              </w:rPr>
              <w:t xml:space="preserve">Meta WhatsApp Cloud API directly, or Twilio as a faster-to-integrate wrapper?</w:t>
            </w:r>
          </w:p>
        </w:tc>
        <w:tc>
          <w:tcPr>
            <w:tcW w:type="dxa" w:w="3226"/>
            <w:tcMar>
              <w:top w:type="dxa" w:w="80"/>
              <w:left w:type="dxa" w:w="120"/>
              <w:bottom w:type="dxa" w:w="80"/>
              <w:right w:type="dxa" w:w="120"/>
            </w:tcMar>
          </w:tcPr>
          <w:p>
            <w:pPr>
              <w:spacing w:after="0" w:line="246"/>
            </w:pPr>
            <w:r>
              <w:rPr>
                <w:rFonts w:ascii="Calibri" w:cs="Calibri" w:eastAsia="Calibri" w:hAnsi="Calibri"/>
                <w:sz w:val="18"/>
                <w:szCs w:val="18"/>
              </w:rPr>
              <w:t xml:space="preserve">P2-19</w:t>
            </w:r>
          </w:p>
        </w:tc>
      </w:tr>
      <w:tr>
        <w:tc>
          <w:tcPr>
            <w:tcW w:type="dxa" w:w="5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4</w:t>
            </w:r>
          </w:p>
        </w:tc>
        <w:tc>
          <w:tcPr>
            <w:tcW w:type="dxa" w:w="53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Confirm the DET guest-registration deadline (3 hours vs 24 hours) and current permit renewal fee directly with DET</w:t>
            </w:r>
          </w:p>
        </w:tc>
        <w:tc>
          <w:tcPr>
            <w:tcW w:type="dxa" w:w="3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P2-11 default value, and the compliance messaging generally</w:t>
            </w:r>
          </w:p>
        </w:tc>
      </w:tr>
      <w:tr>
        <w:tc>
          <w:tcPr>
            <w:tcW w:type="dxa" w:w="500"/>
            <w:tcMar>
              <w:top w:type="dxa" w:w="80"/>
              <w:left w:type="dxa" w:w="120"/>
              <w:bottom w:type="dxa" w:w="80"/>
              <w:right w:type="dxa" w:w="120"/>
            </w:tcMar>
          </w:tcPr>
          <w:p>
            <w:pPr>
              <w:spacing w:after="0" w:line="246"/>
            </w:pPr>
            <w:r>
              <w:rPr>
                <w:rFonts w:ascii="Calibri" w:cs="Calibri" w:eastAsia="Calibri" w:hAnsi="Calibri"/>
                <w:sz w:val="18"/>
                <w:szCs w:val="18"/>
              </w:rPr>
              <w:t xml:space="preserve">5</w:t>
            </w:r>
          </w:p>
        </w:tc>
        <w:tc>
          <w:tcPr>
            <w:tcW w:type="dxa" w:w="5300"/>
            <w:tcMar>
              <w:top w:type="dxa" w:w="80"/>
              <w:left w:type="dxa" w:w="120"/>
              <w:bottom w:type="dxa" w:w="80"/>
              <w:right w:type="dxa" w:w="120"/>
            </w:tcMar>
          </w:tcPr>
          <w:p>
            <w:pPr>
              <w:spacing w:after="0" w:line="246"/>
            </w:pPr>
            <w:r>
              <w:rPr>
                <w:rFonts w:ascii="Calibri" w:cs="Calibri" w:eastAsia="Calibri" w:hAnsi="Calibri"/>
                <w:sz w:val="18"/>
                <w:szCs w:val="18"/>
              </w:rPr>
              <w:t xml:space="preserve">Which channels will you list on at launch — Airbnb, Booking.com, direct bookings, others?</w:t>
            </w:r>
          </w:p>
        </w:tc>
        <w:tc>
          <w:tcPr>
            <w:tcW w:type="dxa" w:w="3226"/>
            <w:tcMar>
              <w:top w:type="dxa" w:w="80"/>
              <w:left w:type="dxa" w:w="120"/>
              <w:bottom w:type="dxa" w:w="80"/>
              <w:right w:type="dxa" w:w="120"/>
            </w:tcMar>
          </w:tcPr>
          <w:p>
            <w:pPr>
              <w:spacing w:after="0" w:line="246"/>
            </w:pPr>
            <w:r>
              <w:rPr>
                <w:rFonts w:ascii="Calibri" w:cs="Calibri" w:eastAsia="Calibri" w:hAnsi="Calibri"/>
                <w:sz w:val="18"/>
                <w:szCs w:val="18"/>
              </w:rPr>
              <w:t xml:space="preserve">P1-25/26 scope, and Phase 4 prioritisation</w:t>
            </w:r>
          </w:p>
        </w:tc>
      </w:tr>
      <w:tr>
        <w:tc>
          <w:tcPr>
            <w:tcW w:type="dxa" w:w="5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6</w:t>
            </w:r>
          </w:p>
        </w:tc>
        <w:tc>
          <w:tcPr>
            <w:tcW w:type="dxa" w:w="5300"/>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Do you want a staging walkthrough after every phase (as planned) or only at specific milestones?</w:t>
            </w:r>
          </w:p>
        </w:tc>
        <w:tc>
          <w:tcPr>
            <w:tcW w:type="dxa" w:w="3226"/>
            <w:shd w:fill="F2F2F2" w:val="clear"/>
            <w:tcMar>
              <w:top w:type="dxa" w:w="80"/>
              <w:left w:type="dxa" w:w="120"/>
              <w:bottom w:type="dxa" w:w="80"/>
              <w:right w:type="dxa" w:w="120"/>
            </w:tcMar>
          </w:tcPr>
          <w:p>
            <w:pPr>
              <w:spacing w:after="0" w:line="246"/>
            </w:pPr>
            <w:r>
              <w:rPr>
                <w:rFonts w:ascii="Calibri" w:cs="Calibri" w:eastAsia="Calibri" w:hAnsi="Calibri"/>
                <w:sz w:val="18"/>
                <w:szCs w:val="18"/>
              </w:rPr>
              <w:t xml:space="preserve">Review cadence, not scope</w:t>
            </w:r>
          </w:p>
        </w:tc>
      </w:tr>
    </w:tbl>
    <w:p>
      <w:pPr>
        <w:pStyle w:val="Heading2"/>
        <w:spacing w:after="120" w:before="240"/>
      </w:pPr>
      <w:r>
        <w:rPr>
          <w:rFonts w:ascii="Calibri" w:cs="Calibri" w:eastAsia="Calibri" w:hAnsi="Calibri"/>
          <w:b/>
          <w:bCs/>
          <w:color w:val="1F4E79"/>
          <w:sz w:val="24"/>
          <w:szCs w:val="24"/>
        </w:rPr>
        <w:t xml:space="preserve">Suggested next step</w:t>
      </w:r>
    </w:p>
    <w:p>
      <w:pPr>
        <w:spacing w:after="120" w:line="276"/>
      </w:pPr>
      <w:r>
        <w:rPr>
          <w:rFonts w:ascii="Calibri" w:cs="Calibri" w:eastAsia="Calibri" w:hAnsi="Calibri"/>
          <w:sz w:val="21"/>
          <w:szCs w:val="21"/>
        </w:rPr>
        <w:t xml:space="preserve">Review the stack in section 2 and the Phase 1 task list in section 5 specifically — that is the part that starts first and is hardest to change once underway. Once you confirm those (and the open decisions above), work can begin at S0-1.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Holiday Rental Management System — Implementation Plan</dc:title>
  <dc:creator>Rent Business System Implementation Plan</dc:creator>
  <cp:lastModifiedBy>Un-named</cp:lastModifiedBy>
  <cp:revision>1</cp:revision>
  <dcterms:created xsi:type="dcterms:W3CDTF">2026-08-01T11:02:06.679Z</dcterms:created>
  <dcterms:modified xsi:type="dcterms:W3CDTF">2026-08-01T11:02:06.680Z</dcterms:modified>
</cp:coreProperties>
</file>

<file path=docProps/custom.xml><?xml version="1.0" encoding="utf-8"?>
<Properties xmlns="http://schemas.openxmlformats.org/officeDocument/2006/custom-properties" xmlns:vt="http://schemas.openxmlformats.org/officeDocument/2006/docPropsVTypes"/>
</file>