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  <w:jc w:val="center"/>
      </w:pPr>
      <w:r>
        <w:rPr>
          <w:b/>
          <w:bCs/>
          <w:color w:val="1F4E79"/>
          <w:sz w:val="52"/>
          <w:szCs w:val="52"/>
        </w:rPr>
        <w:t xml:space="preserve">MODEL DEVELOPMENT DOCUMENT</w:t>
      </w:r>
    </w:p>
    <w:p>
      <w:pPr>
        <w:spacing w:after="0" w:before="120"/>
        <w:jc w:val="center"/>
      </w:pPr>
      <w:r>
        <w:rPr>
          <w:color w:val="595959"/>
          <w:sz w:val="32"/>
          <w:szCs w:val="32"/>
        </w:rPr>
        <w:t xml:space="preserve">Retail Loan Probability-of-Default (PD) Model</w:t>
      </w:r>
    </w:p>
    <w:p>
      <w:pPr>
        <w:spacing w:after="300" w:before="60"/>
        <w:jc w:val="center"/>
      </w:pPr>
      <w:r>
        <w:rPr>
          <w:color w:val="2E75B6"/>
          <w:sz w:val="24"/>
          <w:szCs w:val="24"/>
        </w:rPr>
        <w:t xml:space="preserve">Logistic Regression Scorecard with Weight-of-Evidence (WOE) Binning</w:t>
      </w:r>
    </w:p>
    <w:p>
      <w:pPr>
        <w:pBdr>
          <w:bottom w:val="single" w:color="1F4E79" w:sz="12"/>
        </w:pBdr>
        <w:spacing w:after="260"/>
        <w:jc w:val="center"/>
      </w:pPr>
    </w:p>
    <w:p>
      <w:pPr>
        <w:spacing w:after="40"/>
        <w:jc w:val="center"/>
      </w:pPr>
      <w:r>
        <w:rPr>
          <w:b/>
          <w:bCs/>
          <w:color w:val="595959"/>
          <w:sz w:val="22"/>
          <w:szCs w:val="22"/>
        </w:rPr>
        <w:t xml:space="preserve">Model ID: PD-RETAIL-2026-01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Document Version: 1.0  (Development)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Date: 15 July 2026</w:t>
      </w:r>
    </w:p>
    <w:p>
      <w:pPr>
        <w:spacing w:after="40"/>
        <w:jc w:val="center"/>
      </w:pPr>
      <w:r>
        <w:rPr>
          <w:color w:val="595959"/>
          <w:sz w:val="22"/>
          <w:szCs w:val="22"/>
        </w:rPr>
        <w:t xml:space="preserve">Classification: Internal / Confidential</w:t>
      </w:r>
    </w:p>
    <w:p>
      <w:pPr>
        <w:spacing w:before="520"/>
        <w:jc w:val="center"/>
      </w:pPr>
      <w:r>
        <w:rPr>
          <w:i/>
          <w:iCs/>
          <w:color w:val="595959"/>
          <w:sz w:val="18"/>
          <w:szCs w:val="18"/>
        </w:rPr>
        <w:t xml:space="preserve">Prepared for Model Risk Management review under the bank's Model Risk Management Policy (aligned to SR 11-7 / model governance standards).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Document Control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Version History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1400"/>
        <w:gridCol w:w="1700"/>
        <w:gridCol w:w="2400"/>
        <w:gridCol w:w="38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7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38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 (Spec)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 Jul 2026</w:t>
            </w:r>
          </w:p>
        </w:tc>
        <w:tc>
          <w:tcPr>
            <w:tcW w:type="dxa" w:w="2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Development</w:t>
            </w:r>
          </w:p>
        </w:tc>
        <w:tc>
          <w:tcPr>
            <w:tcW w:type="dxa" w:w="38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Approved modeling specification</w:t>
            </w:r>
          </w:p>
        </w:tc>
      </w:tr>
      <w:tr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7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 Jul 2026</w:t>
            </w:r>
          </w:p>
        </w:tc>
        <w:tc>
          <w:tcPr>
            <w:tcW w:type="dxa" w:w="2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Development</w:t>
            </w:r>
          </w:p>
        </w:tc>
        <w:tc>
          <w:tcPr>
            <w:tcW w:type="dxa" w:w="38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Initial development document — model built, tested, results reported</w:t>
            </w:r>
          </w:p>
        </w:tc>
      </w:tr>
    </w:tbl>
    <w:p>
      <w:pPr>
        <w:spacing w:after="80"/>
      </w:pP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Review &amp; Approval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2100"/>
        <w:gridCol w:w="2600"/>
        <w:gridCol w:w="3300"/>
        <w:gridCol w:w="1300"/>
      </w:tblGrid>
      <w:tr>
        <w:trPr>
          <w:tblHeader/>
        </w:trPr>
        <w:tc>
          <w:tcPr>
            <w:tcW w:type="dxa" w:w="21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6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Name / Function</w:t>
            </w:r>
          </w:p>
        </w:tc>
        <w:tc>
          <w:tcPr>
            <w:tcW w:type="dxa" w:w="33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Responsibility</w:t>
            </w:r>
          </w:p>
        </w:tc>
        <w:tc>
          <w:tcPr>
            <w:tcW w:type="dxa" w:w="13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Developer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Development Unit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Design, build, document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</w:t>
            </w:r>
          </w:p>
        </w:tc>
      </w:tr>
      <w:tr>
        <w:tc>
          <w:tcPr>
            <w:tcW w:type="dxa" w:w="21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Owner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Retail Credit Risk</w:t>
            </w:r>
          </w:p>
        </w:tc>
        <w:tc>
          <w:tcPr>
            <w:tcW w:type="dxa" w:w="3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Business ownership &amp; use</w:t>
            </w:r>
          </w:p>
        </w:tc>
        <w:tc>
          <w:tcPr>
            <w:tcW w:type="dxa" w:w="1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1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Independent Validation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Risk Management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Independent review &amp; challenge</w:t>
            </w:r>
          </w:p>
        </w:tc>
        <w:tc>
          <w:tcPr>
            <w:tcW w:type="dxa" w:w="1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  <w:tr>
        <w:tc>
          <w:tcPr>
            <w:tcW w:type="dxa" w:w="21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Approver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 Risk Committee</w:t>
            </w:r>
          </w:p>
        </w:tc>
        <w:tc>
          <w:tcPr>
            <w:tcW w:type="dxa" w:w="3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Approval for use</w:t>
            </w:r>
          </w:p>
        </w:tc>
        <w:tc>
          <w:tcPr>
            <w:tcW w:type="dxa" w:w="1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Pending</w:t>
            </w:r>
          </w:p>
        </w:tc>
      </w:tr>
    </w:tbl>
    <w:p>
      <w:pPr>
        <w:spacing w:after="80"/>
      </w:pP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Related Artifacts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2600"/>
        <w:gridCol w:w="3100"/>
        <w:gridCol w:w="36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Artifact</w:t>
            </w:r>
          </w:p>
        </w:tc>
        <w:tc>
          <w:tcPr>
            <w:tcW w:type="dxa" w:w="31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6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Modeling specification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PD_Model_Modeling_Spec.docx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Approved development plan</w:t>
            </w:r>
          </w:p>
        </w:tc>
      </w:tr>
      <w:tr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Development code</w:t>
            </w:r>
          </w:p>
        </w:tc>
        <w:tc>
          <w:tcPr>
            <w:tcW w:type="dxa" w:w="31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pd_model_pipeline.py</w:t>
            </w:r>
          </w:p>
        </w:tc>
        <w:tc>
          <w:tcPr>
            <w:tcW w:type="dxa" w:w="3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Reproducible pipeline (random_state=42)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Results (machine-readable)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results/pd_model_results.json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variants, metrics, coefficients</w:t>
            </w:r>
          </w:p>
        </w:tc>
      </w:tr>
      <w:tr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Metrics / IV / coeffs</w:t>
            </w:r>
          </w:p>
        </w:tc>
        <w:tc>
          <w:tcPr>
            <w:tcW w:type="dxa" w:w="31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results/*.csv</w:t>
            </w:r>
          </w:p>
        </w:tc>
        <w:tc>
          <w:tcPr>
            <w:tcW w:type="dxa" w:w="3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Performance &amp; variable tables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WOE tables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results/woe_tables_variantA.json</w:t>
            </w:r>
          </w:p>
        </w:tc>
        <w:tc>
          <w:tcPr>
            <w:tcW w:type="dxa" w:w="3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Bin edges &amp; WOE maps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Table of 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1.  Executive Summary</w:t>
      </w:r>
    </w:p>
    <w:p>
      <w:pPr>
        <w:spacing w:after="120" w:line="278"/>
      </w:pPr>
      <w:r>
        <w:rPr>
          <w:sz w:val="21"/>
          <w:szCs w:val="21"/>
        </w:rPr>
        <w:t xml:space="preserve">This document describes the development of a Probability-of-Default (PD) model for the retail loan portfolio. The model is a traditional, interpretable credit scorecard: candidate predictors are discretised into bins, each bin is replaced by its Weight of Evidence (WOE), and the WOE-transformed variables are combined in a logistic regression that estimates the probability that a borrower will default.</w:t>
      </w:r>
    </w:p>
    <w:p>
      <w:pPr>
        <w:spacing w:after="120" w:line="278"/>
      </w:pPr>
      <w:r>
        <w:rPr>
          <w:sz w:val="21"/>
          <w:szCs w:val="21"/>
        </w:rPr>
        <w:t xml:space="preserve">The model was developed on 20,000 loan records with no missing data and an observed default rate of 20.0%. A stratified 70/30 hold-out was used (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random_state = 42</w:t>
      </w:r>
      <w:r>
        <w:rPr>
          <w:sz w:val="21"/>
          <w:szCs w:val="21"/>
        </w:rPr>
        <w:t xml:space="preserve">), giving 14,000 training and 6,000 test accounts. The final model comprises five variables — debt-to-income ratio, credit score, interest rate, delinquency history and employment status — all with economically sensible, monotonic risk relationships and coefficients of consistent sign.</w:t>
      </w:r>
    </w:p>
    <w:p>
      <w:pPr>
        <w:spacing w:after="120" w:line="278"/>
      </w:pPr>
      <w:r>
        <w:rPr>
          <w:b/>
          <w:bCs/>
          <w:sz w:val="21"/>
          <w:szCs w:val="21"/>
        </w:rPr>
        <w:t xml:space="preserve">Performance. </w:t>
      </w:r>
      <w:r>
        <w:rPr>
          <w:sz w:val="21"/>
          <w:szCs w:val="21"/>
        </w:rPr>
        <w:t xml:space="preserve">On the untouched test set the model achieves an AUC of </w:t>
      </w:r>
      <w:r>
        <w:rPr>
          <w:b/>
          <w:bCs/>
          <w:color w:val="1F4E79"/>
          <w:sz w:val="21"/>
          <w:szCs w:val="21"/>
        </w:rPr>
        <w:t xml:space="preserve">0.887</w:t>
      </w:r>
      <w:r>
        <w:rPr>
          <w:sz w:val="21"/>
          <w:szCs w:val="21"/>
        </w:rPr>
        <w:t xml:space="preserve"> (Gini 0.774, KS 0.577). Training and test AUC differ by less than 0.005, indicating strong discrimination with no material over-fitting.</w:t>
      </w:r>
    </w:p>
    <w:p>
      <w:pPr>
        <w:spacing w:after="120" w:line="278"/>
      </w:pPr>
      <w:r>
        <w:rPr>
          <w:b/>
          <w:bCs/>
          <w:sz w:val="21"/>
          <w:szCs w:val="21"/>
        </w:rPr>
        <w:t xml:space="preserve">Key development findings: </w:t>
      </w:r>
      <w:r>
        <w:rPr>
          <w:sz w:val="21"/>
          <w:szCs w:val="21"/>
        </w:rPr>
        <w:t xml:space="preserve">(i) the pre-assigned loan grade (grade_subgrade) is collinear with the underlying bureau variables and adds no incremental predictive power — it is excluded by the selection process, so the model does not rely on it; (ii) employment status is the single strongest driver and should receive particular attention in independent validation and in fair-lending review.</w:t>
      </w:r>
    </w:p>
    <w:p>
      <w:pPr>
        <w:pBdr>
          <w:top w:val="single" w:color="2E75B6" w:sz="2"/>
          <w:bottom w:val="single" w:color="2E75B6" w:sz="2"/>
          <w:left w:val="single" w:color="1F4E79" w:sz="12"/>
          <w:right w:val="single" w:color="2E75B6" w:sz="2"/>
        </w:pBdr>
        <w:shd w:fill="DDEBF7" w:color="auto" w:val="clear"/>
        <w:spacing w:after="120" w:before="60"/>
      </w:pPr>
      <w:r>
        <w:rPr>
          <w:i/>
          <w:iCs/>
          <w:color w:val="1A1A1A"/>
          <w:sz w:val="20"/>
          <w:szCs w:val="20"/>
        </w:rPr>
        <w:t xml:space="preserve">Conclusion: the model meets its development objective (a discriminating, interpretable PD scorecard) and is recommended to proceed to independent validation. Limitations — most notably the absence of an out-of-time sample and the dominance of employment status — are documented in Section 9.</w:t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2.  Introduction, Purpose &amp; Scope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2.1  Background &amp; Purpose</w:t>
      </w:r>
    </w:p>
    <w:p>
      <w:pPr>
        <w:spacing w:after="120" w:line="278"/>
      </w:pPr>
      <w:r>
        <w:rPr>
          <w:sz w:val="21"/>
          <w:szCs w:val="21"/>
        </w:rPr>
        <w:t xml:space="preserve">The bank requires a quantitative model to estimate the probability of default for retail loan borrowers. The PD estimate supports underwriting decisions, risk-based segmentation and portfolio monitoring. This document records the data, methodology, development steps, results and limitations of the model so that it can be independently validated and governed.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2.2  Model Scope &amp; Intended Use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In scope: </w:t>
      </w:r>
      <w:r>
        <w:rPr>
          <w:sz w:val="21"/>
          <w:szCs w:val="21"/>
        </w:rPr>
        <w:t xml:space="preserve">estimation of a borrower-level probability of default at origination for the retail loan portfolio represented by the development sample.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Intended use: </w:t>
      </w:r>
      <w:r>
        <w:rPr>
          <w:sz w:val="21"/>
          <w:szCs w:val="21"/>
        </w:rPr>
        <w:t xml:space="preserve">rank-ordering of applicants/accounts by credit risk and generation of a PD used in downstream credit decisioning and monitoring.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Out of scope: </w:t>
      </w:r>
      <w:r>
        <w:rPr>
          <w:sz w:val="21"/>
          <w:szCs w:val="21"/>
        </w:rPr>
        <w:t xml:space="preserve">loss-given-default (LGD), exposure-at-default (EAD), regulatory capital calibration, and application to portfolios or products materially different from the development population.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2.3  Regulatory &amp; Governance Context</w:t>
      </w:r>
    </w:p>
    <w:p>
      <w:pPr>
        <w:spacing w:after="120" w:line="278"/>
      </w:pPr>
      <w:r>
        <w:rPr>
          <w:sz w:val="21"/>
          <w:szCs w:val="21"/>
        </w:rPr>
        <w:t xml:space="preserve">The model is developed and documented in line with the bank's Model Risk Management (MRM) framework, which follows supervisory guidance on model risk (SR 11-7 principles): clear model definition and purpose, robust development evidence, independent validation, ongoing monitoring, and full documentation to support effective challenge. This document constitutes the development evidence required for that process.</w:t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3.  Data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3.1  Data Source &amp; Development Population</w:t>
      </w:r>
    </w:p>
    <w:p>
      <w:pPr>
        <w:spacing w:after="120" w:line="278"/>
      </w:pPr>
      <w:r>
        <w:rPr>
          <w:sz w:val="21"/>
          <w:szCs w:val="21"/>
        </w:rPr>
        <w:t xml:space="preserve">The development dataset (loan_dataset_20000.csv) contains 20,000 loan records with 21 candidate predictors and one binary outcome. The variable inventory is provided in Appendix A. The population characteristics are summarised below.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8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Records</w:t>
            </w:r>
          </w:p>
        </w:tc>
        <w:tc>
          <w:tcPr>
            <w:tcW w:type="dxa" w:w="58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20,000</w:t>
            </w:r>
          </w:p>
        </w:tc>
      </w:tr>
      <w:tr>
        <w:tc>
          <w:tcPr>
            <w:tcW w:type="dxa" w:w="3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Candidate predictors</w:t>
            </w:r>
          </w:p>
        </w:tc>
        <w:tc>
          <w:tcPr>
            <w:tcW w:type="dxa" w:w="58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 (14 numeric, 7 categorical)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Outcome variable</w:t>
            </w:r>
          </w:p>
        </w:tc>
        <w:tc>
          <w:tcPr>
            <w:tcW w:type="dxa" w:w="58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loan_paid_back (1 = paid in full, 0 = default)</w:t>
            </w:r>
          </w:p>
        </w:tc>
      </w:tr>
      <w:tr>
        <w:tc>
          <w:tcPr>
            <w:tcW w:type="dxa" w:w="3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Observed default rate</w:t>
            </w:r>
          </w:p>
        </w:tc>
        <w:tc>
          <w:tcPr>
            <w:tcW w:type="dxa" w:w="58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20.01%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Missing values</w:t>
            </w:r>
          </w:p>
        </w:tc>
        <w:tc>
          <w:tcPr>
            <w:tcW w:type="dxa" w:w="58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</w:tr>
    </w:tbl>
    <w:p>
      <w:pPr>
        <w:spacing w:after="80"/>
      </w:pP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3.2  Target (Default) Definition</w:t>
      </w:r>
    </w:p>
    <w:p>
      <w:pPr>
        <w:spacing w:after="120" w:line="278"/>
      </w:pPr>
      <w:r>
        <w:rPr>
          <w:sz w:val="21"/>
          <w:szCs w:val="21"/>
        </w:rPr>
        <w:t xml:space="preserve">The source field loan_paid_back flags fully repaid loans (1). Consistent with PD modeling convention, the modeled event is default, defined as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y = 1 − loan_paid_back</w:t>
      </w:r>
      <w:r>
        <w:rPr>
          <w:sz w:val="21"/>
          <w:szCs w:val="21"/>
        </w:rPr>
        <w:t xml:space="preserve">  (1 = default, 0 = non-default). Because AUC and rank-based statistics are invariant to this orientation, the reported discrimination is unaffected; the convention only governs the sign of WOE and coefficients (higher WOE ⇒ lower default risk).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3.3  Sampling &amp; Train / Test Split</w:t>
      </w:r>
    </w:p>
    <w:p>
      <w:pPr>
        <w:spacing w:after="120" w:line="278"/>
      </w:pPr>
      <w:r>
        <w:rPr>
          <w:sz w:val="21"/>
          <w:szCs w:val="21"/>
        </w:rPr>
        <w:t xml:space="preserve">A single stratified hold-out was drawn exactly as specified in the approved plan:</w:t>
      </w:r>
    </w:p>
    <w:p>
      <w:pPr>
        <w:pBdr>
          <w:top w:val="single" w:color="BFBFBF" w:sz="2"/>
          <w:bottom w:val="single" w:color="BFBFBF" w:sz="2"/>
          <w:left w:val="single" w:color="BFBFBF" w:sz="2"/>
          <w:right w:val="single" w:color="BFBFBF" w:sz="2"/>
        </w:pBdr>
        <w:shd w:fill="DDEBF7" w:color="auto" w:val="clear"/>
        <w:spacing w:after="120"/>
      </w:pPr>
      <w:r>
        <w:rPr>
          <w:rFonts w:ascii="Consolas" w:cs="Consolas" w:eastAsia="Consolas" w:hAnsi="Consolas"/>
          <w:color w:val="1F4E79"/>
          <w:sz w:val="20"/>
          <w:szCs w:val="20"/>
        </w:rPr>
        <w:t xml:space="preserve">train_test_split(X, y, test_size=0.3, random_state=42, stratify=y)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3000"/>
        <w:gridCol w:w="2200"/>
        <w:gridCol w:w="2000"/>
        <w:gridCol w:w="2000"/>
      </w:tblGrid>
      <w:tr>
        <w:trPr>
          <w:tblHeader/>
        </w:trPr>
        <w:tc>
          <w:tcPr>
            <w:tcW w:type="dxa" w:w="3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Sample</w:t>
            </w:r>
          </w:p>
        </w:tc>
        <w:tc>
          <w:tcPr>
            <w:tcW w:type="dxa" w:w="22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Records</w:t>
            </w:r>
          </w:p>
        </w:tc>
        <w:tc>
          <w:tcPr>
            <w:tcW w:type="dxa" w:w="2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Share</w:t>
            </w:r>
          </w:p>
        </w:tc>
        <w:tc>
          <w:tcPr>
            <w:tcW w:type="dxa" w:w="2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rate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Training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14,000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70%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20.01%</w:t>
            </w:r>
          </w:p>
        </w:tc>
      </w:tr>
      <w:tr>
        <w:tc>
          <w:tcPr>
            <w:tcW w:type="dxa" w:w="3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Test (hold-out)</w:t>
            </w:r>
          </w:p>
        </w:tc>
        <w:tc>
          <w:tcPr>
            <w:tcW w:type="dxa" w:w="2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6,000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30%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20.02%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20,000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100%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20.01%</w:t>
            </w:r>
          </w:p>
        </w:tc>
      </w:tr>
    </w:tbl>
    <w:p>
      <w:pPr>
        <w:spacing w:after="120" w:line="278"/>
      </w:pPr>
      <w:r>
        <w:rPr>
          <w:sz w:val="21"/>
          <w:szCs w:val="21"/>
        </w:rPr>
        <w:t xml:space="preserve">Stratification preserves the 20% default rate in both samples. </w:t>
      </w:r>
      <w:r>
        <w:rPr>
          <w:b w:val="false"/>
          <w:bCs w:val="false"/>
          <w:sz w:val="21"/>
          <w:szCs w:val="21"/>
        </w:rPr>
        <w:t xml:space="preserve">All development artifacts — bin edges, WOE maps, Information Values, variable selection and the fitted coefficients — are estimated on the training sample only; the test sample is transformed with the frozen training artifacts and is used exactly once, to measure final performance. This prevents information leakage from the hold-out.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3.4  Data Quality Assessment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Check</w:t>
            </w:r>
          </w:p>
        </w:tc>
        <w:tc>
          <w:tcPr>
            <w:tcW w:type="dxa" w:w="66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 / Treatment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Completeness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 missing values across all fields; no imputation required.</w:t>
            </w:r>
          </w:p>
        </w:tc>
      </w:tr>
      <w:tr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Duplicates</w:t>
            </w:r>
          </w:p>
        </w:tc>
        <w:tc>
          <w:tcPr>
            <w:tcW w:type="dxa" w:w="6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fully duplicated records identified.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Range / plausibility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fields within plausible bounds (age 21–75, credit score 373–850, DTI 0.01–0.67, rate 3.1–22.5%); no out-of-range values.</w:t>
            </w:r>
          </w:p>
        </w:tc>
      </w:tr>
      <w:tr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Deterministic redundancy</w:t>
            </w:r>
          </w:p>
        </w:tc>
        <w:tc>
          <w:tcPr>
            <w:tcW w:type="dxa" w:w="6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annual_income = 12 × monthly_income exactly (perfect collinearity) — monthly_income removed, annual_income retained.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Derived field</w:t>
            </w:r>
          </w:p>
        </w:tc>
        <w:tc>
          <w:tcPr>
            <w:tcW w:type="dxa" w:w="6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installment is an algebraic function of loan_amount, interest_rate and loan_term — retained but monitored for collinearity.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3.5  Exclusions &amp; Treatments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monthly_income </w:t>
      </w:r>
      <w:r>
        <w:rPr>
          <w:sz w:val="21"/>
          <w:szCs w:val="21"/>
        </w:rPr>
        <w:t xml:space="preserve">excluded prior to modeling (redundant with annual_income).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Missing-value bin: </w:t>
      </w:r>
      <w:r>
        <w:rPr>
          <w:sz w:val="21"/>
          <w:szCs w:val="21"/>
        </w:rPr>
        <w:t xml:space="preserve">none required (complete data); the pipeline would otherwise assign missing values to a dedicated WOE bin rather than impute.</w:t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4.  Methodology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4.1  Modeling Approach</w:t>
      </w:r>
    </w:p>
    <w:p>
      <w:pPr>
        <w:spacing w:after="120" w:line="278"/>
      </w:pPr>
      <w:r>
        <w:rPr>
          <w:sz w:val="21"/>
          <w:szCs w:val="21"/>
        </w:rPr>
        <w:t xml:space="preserve">The model follows standard credit-scorecard methodology. Each predictor is binned, and each bin is replaced by its Weight of Evidence, which expresses the bin's log-odds relative to the sample average. WOE linearises each predictor against the log-odds of default — precisely the functional form assumed by logistic regression — and yields a transparent, monotonic, and easily governed model.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4.2  Weight of Evidence and Information Value</w:t>
      </w:r>
    </w:p>
    <w:p>
      <w:pPr>
        <w:spacing w:after="120" w:line="278"/>
      </w:pPr>
      <w:r>
        <w:rPr>
          <w:sz w:val="21"/>
          <w:szCs w:val="21"/>
        </w:rPr>
        <w:t xml:space="preserve">For bin i, with events = defaults and non-events = non-defaults:</w:t>
      </w:r>
    </w:p>
    <w:p>
      <w:pPr>
        <w:spacing w:after="120" w:line="278"/>
      </w:pPr>
      <w:r>
        <w:rPr>
          <w:sz w:val="21"/>
          <w:szCs w:val="21"/>
        </w:rPr>
        <w:t xml:space="preserve">WOE</w:t>
      </w:r>
      <w:r>
        <w:rPr>
          <w:sz w:val="21"/>
          <w:szCs w:val="21"/>
          <w:vertAlign w:val="subscript"/>
        </w:rPr>
        <w:t xml:space="preserve">i</w:t>
      </w:r>
      <w:r>
        <w:rPr>
          <w:sz w:val="21"/>
          <w:szCs w:val="21"/>
        </w:rPr>
        <w:t xml:space="preserve"> = ln( %non-events</w:t>
      </w:r>
      <w:r>
        <w:rPr>
          <w:sz w:val="21"/>
          <w:szCs w:val="21"/>
          <w:vertAlign w:val="subscript"/>
        </w:rPr>
        <w:t xml:space="preserve">i</w:t>
      </w:r>
      <w:r>
        <w:rPr>
          <w:sz w:val="21"/>
          <w:szCs w:val="21"/>
        </w:rPr>
        <w:t xml:space="preserve"> / %events</w:t>
      </w:r>
      <w:r>
        <w:rPr>
          <w:sz w:val="21"/>
          <w:szCs w:val="21"/>
          <w:vertAlign w:val="subscript"/>
        </w:rPr>
        <w:t xml:space="preserve">i</w:t>
      </w:r>
      <w:r>
        <w:rPr>
          <w:sz w:val="21"/>
          <w:szCs w:val="21"/>
        </w:rPr>
        <w:t xml:space="preserve"> )</w:t>
      </w:r>
    </w:p>
    <w:p>
      <w:pPr>
        <w:spacing w:after="120" w:line="278"/>
      </w:pPr>
      <w:r>
        <w:rPr>
          <w:sz w:val="21"/>
          <w:szCs w:val="21"/>
        </w:rPr>
        <w:t xml:space="preserve">IV = Σ</w:t>
      </w:r>
      <w:r>
        <w:rPr>
          <w:sz w:val="21"/>
          <w:szCs w:val="21"/>
          <w:vertAlign w:val="subscript"/>
        </w:rPr>
        <w:t xml:space="preserve">i</w:t>
      </w:r>
      <w:r>
        <w:rPr>
          <w:sz w:val="21"/>
          <w:szCs w:val="21"/>
        </w:rPr>
        <w:t xml:space="preserve"> ( %non-events</w:t>
      </w:r>
      <w:r>
        <w:rPr>
          <w:sz w:val="21"/>
          <w:szCs w:val="21"/>
          <w:vertAlign w:val="subscript"/>
        </w:rPr>
        <w:t xml:space="preserve">i</w:t>
      </w:r>
      <w:r>
        <w:rPr>
          <w:sz w:val="21"/>
          <w:szCs w:val="21"/>
        </w:rPr>
        <w:t xml:space="preserve"> − %events</w:t>
      </w:r>
      <w:r>
        <w:rPr>
          <w:sz w:val="21"/>
          <w:szCs w:val="21"/>
          <w:vertAlign w:val="subscript"/>
        </w:rPr>
        <w:t xml:space="preserve">i</w:t>
      </w:r>
      <w:r>
        <w:rPr>
          <w:sz w:val="21"/>
          <w:szCs w:val="21"/>
        </w:rPr>
        <w:t xml:space="preserve"> ) × WOE</w:t>
      </w:r>
      <w:r>
        <w:rPr>
          <w:sz w:val="21"/>
          <w:szCs w:val="21"/>
          <w:vertAlign w:val="subscript"/>
        </w:rPr>
        <w:t xml:space="preserve">i</w:t>
      </w:r>
      <w:r>
        <w:rPr>
          <w:sz w:val="21"/>
          <w:szCs w:val="21"/>
        </w:rPr>
        <w:t xml:space="preserve"> .</w:t>
      </w:r>
    </w:p>
    <w:p>
      <w:pPr>
        <w:spacing w:after="120" w:line="278"/>
      </w:pPr>
      <w:r>
        <w:rPr>
          <w:sz w:val="21"/>
          <w:szCs w:val="21"/>
        </w:rPr>
        <w:t xml:space="preserve">A Laplace adjustment (+0.5) is applied to bin counts so WOE remains finite for sparse bins. Information Value summarises a variable's univariate predictive strength; the standard interpretation band is used (see Section 5).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4.3  Binning Rules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Numeric variables: </w:t>
      </w:r>
      <w:r>
        <w:rPr>
          <w:sz w:val="21"/>
          <w:szCs w:val="21"/>
        </w:rPr>
        <w:t xml:space="preserve">supervised binning via a shallow decision tree targeting the default event (max 6 bins; each bin ≥ 5% of training rows / ≥ 50 records), producing risk-ordered cut-points.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Categorical variables: </w:t>
      </w:r>
      <w:r>
        <w:rPr>
          <w:sz w:val="21"/>
          <w:szCs w:val="21"/>
        </w:rPr>
        <w:t xml:space="preserve">each level is a bin; levels below 1% of records are merged into a 'RARE' group. WOE is computed per level.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Freezing: </w:t>
      </w:r>
      <w:r>
        <w:rPr>
          <w:sz w:val="21"/>
          <w:szCs w:val="21"/>
        </w:rPr>
        <w:t xml:space="preserve">final bin edges and WOE values are stored from training and applied unchanged to the test sample and in production.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4.4  Logistic Regression</w:t>
      </w:r>
    </w:p>
    <w:p>
      <w:pPr>
        <w:spacing w:after="120" w:line="278"/>
      </w:pPr>
      <w:r>
        <w:rPr>
          <w:sz w:val="21"/>
          <w:szCs w:val="21"/>
        </w:rPr>
        <w:t xml:space="preserve">The scorecard is a logistic regression on the WOE-transformed variables:</w:t>
      </w:r>
    </w:p>
    <w:p>
      <w:pPr>
        <w:spacing w:after="120" w:line="278"/>
      </w:pPr>
      <w:r>
        <w:rPr>
          <w:sz w:val="21"/>
          <w:szCs w:val="21"/>
        </w:rPr>
        <w:t xml:space="preserve">logit(PD) = β</w:t>
      </w:r>
      <w:r>
        <w:rPr>
          <w:sz w:val="21"/>
          <w:szCs w:val="21"/>
          <w:vertAlign w:val="subscript"/>
        </w:rPr>
        <w:t xml:space="preserve">0</w:t>
      </w:r>
      <w:r>
        <w:rPr>
          <w:sz w:val="21"/>
          <w:szCs w:val="21"/>
        </w:rPr>
        <w:t xml:space="preserve"> + Σ</w:t>
      </w:r>
      <w:r>
        <w:rPr>
          <w:sz w:val="21"/>
          <w:szCs w:val="21"/>
          <w:vertAlign w:val="subscript"/>
        </w:rPr>
        <w:t xml:space="preserve">j</w:t>
      </w:r>
      <w:r>
        <w:rPr>
          <w:sz w:val="21"/>
          <w:szCs w:val="21"/>
        </w:rPr>
        <w:t xml:space="preserve"> β</w:t>
      </w:r>
      <w:r>
        <w:rPr>
          <w:sz w:val="21"/>
          <w:szCs w:val="21"/>
          <w:vertAlign w:val="subscript"/>
        </w:rPr>
        <w:t xml:space="preserve">j</w:t>
      </w:r>
      <w:r>
        <w:rPr>
          <w:sz w:val="21"/>
          <w:szCs w:val="21"/>
        </w:rPr>
        <w:t xml:space="preserve"> · WOE</w:t>
      </w:r>
      <w:r>
        <w:rPr>
          <w:sz w:val="21"/>
          <w:szCs w:val="21"/>
          <w:vertAlign w:val="subscript"/>
        </w:rPr>
        <w:t xml:space="preserve">j</w:t>
      </w:r>
      <w:r>
        <w:rPr>
          <w:sz w:val="21"/>
          <w:szCs w:val="21"/>
        </w:rPr>
        <w:t xml:space="preserve">(x</w:t>
      </w:r>
      <w:r>
        <w:rPr>
          <w:sz w:val="21"/>
          <w:szCs w:val="21"/>
          <w:vertAlign w:val="subscript"/>
        </w:rPr>
        <w:t xml:space="preserve">j</w:t>
      </w:r>
      <w:r>
        <w:rPr>
          <w:sz w:val="21"/>
          <w:szCs w:val="21"/>
        </w:rPr>
        <w:t xml:space="preserve">).</w:t>
      </w:r>
    </w:p>
    <w:p>
      <w:pPr>
        <w:spacing w:after="120" w:line="278"/>
      </w:pPr>
      <w:r>
        <w:rPr>
          <w:sz w:val="21"/>
          <w:szCs w:val="21"/>
        </w:rPr>
        <w:t xml:space="preserve">The model is fit without regularisation to preserve interpretability. Because WOE is aligned to the default event, all coefficients are expected to carry the same sign; a consistent sign pattern is a scorecard sanity check.</w:t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5.  Variable Selection</w:t>
      </w:r>
    </w:p>
    <w:p>
      <w:pPr>
        <w:spacing w:after="120" w:line="278"/>
      </w:pPr>
      <w:r>
        <w:rPr>
          <w:sz w:val="21"/>
          <w:szCs w:val="21"/>
        </w:rPr>
        <w:t xml:space="preserve">Candidate variables were screened on the training sample through three sequential gates.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5.1  Univariate Screening — Information Value</w:t>
      </w:r>
    </w:p>
    <w:p>
      <w:pPr>
        <w:spacing w:after="120" w:line="278"/>
      </w:pPr>
      <w:r>
        <w:rPr>
          <w:sz w:val="21"/>
          <w:szCs w:val="21"/>
        </w:rPr>
        <w:t xml:space="preserve">Variables with IV &lt; 0.02 were removed as non-predictive. The IV interpretation band and the full ranking (Appendix B) were used. The strongest variables were employment_status (IV 1.90), debt_to_income_ratio (0.35), credit_score (0.30) and grade_subgrade (0.27).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2700"/>
        <w:gridCol w:w="3400"/>
        <w:gridCol w:w="3100"/>
      </w:tblGrid>
      <w:tr>
        <w:trPr>
          <w:tblHeader/>
        </w:trPr>
        <w:tc>
          <w:tcPr>
            <w:tcW w:type="dxa" w:w="27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Information Value</w:t>
            </w:r>
          </w:p>
        </w:tc>
        <w:tc>
          <w:tcPr>
            <w:tcW w:type="dxa" w:w="3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Predictive strength</w:t>
            </w:r>
          </w:p>
        </w:tc>
        <w:tc>
          <w:tcPr>
            <w:tcW w:type="dxa" w:w="31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&lt; 0.02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Drop</w:t>
            </w:r>
          </w:p>
        </w:tc>
      </w:tr>
      <w:tr>
        <w:tc>
          <w:tcPr>
            <w:tcW w:type="dxa" w:w="27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0.02 – 0.10</w:t>
            </w:r>
          </w:p>
        </w:tc>
        <w:tc>
          <w:tcPr>
            <w:tcW w:type="dxa" w:w="3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Weak</w:t>
            </w:r>
          </w:p>
        </w:tc>
        <w:tc>
          <w:tcPr>
            <w:tcW w:type="dxa" w:w="31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Consider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0.10 – 0.30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27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 – 0.50</w:t>
            </w:r>
          </w:p>
        </w:tc>
        <w:tc>
          <w:tcPr>
            <w:tcW w:type="dxa" w:w="3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Strong</w:t>
            </w:r>
          </w:p>
        </w:tc>
        <w:tc>
          <w:tcPr>
            <w:tcW w:type="dxa" w:w="31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Keep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&gt; 0.50</w:t>
            </w:r>
          </w:p>
        </w:tc>
        <w:tc>
          <w:tcPr>
            <w:tcW w:type="dxa" w:w="3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Suspiciously strong</w:t>
            </w:r>
          </w:p>
        </w:tc>
        <w:tc>
          <w:tcPr>
            <w:tcW w:type="dxa" w:w="31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Keep only after leakage review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5.2  Multicollinearity Screening</w:t>
      </w:r>
    </w:p>
    <w:p>
      <w:pPr>
        <w:spacing w:after="120" w:line="278"/>
      </w:pPr>
      <w:r>
        <w:rPr>
          <w:sz w:val="21"/>
          <w:szCs w:val="21"/>
        </w:rPr>
        <w:t xml:space="preserve">On the WOE-transformed variables, pairs with |Pearson correlation| &gt; 0.70 were reduced by dropping the lower-IV member. This step removed num_of_delinquencies (redundant with delinquency_history) and grade_subgrade (redundant with the underlying bureau variables credit_score / interest_rate / DTI, and of lower IV).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5.3  Final Variable Set</w:t>
      </w:r>
    </w:p>
    <w:p>
      <w:pPr>
        <w:spacing w:after="120" w:line="278"/>
      </w:pPr>
      <w:r>
        <w:rPr>
          <w:sz w:val="21"/>
          <w:szCs w:val="21"/>
        </w:rPr>
        <w:t xml:space="preserve">Five variables entered the final model:</w:t>
      </w:r>
    </w:p>
    <w:tbl>
      <w:tblPr>
        <w:tblW w:type="dxa" w:w="93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2900"/>
        <w:gridCol w:w="1500"/>
        <w:gridCol w:w="1900"/>
        <w:gridCol w:w="3000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5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IV</w:t>
            </w:r>
          </w:p>
        </w:tc>
        <w:tc>
          <w:tcPr>
            <w:tcW w:type="dxa" w:w="19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Risk direction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employment_status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1.9016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Unemployed/Student ⇒ higher risk</w:t>
            </w:r>
          </w:p>
        </w:tc>
      </w:tr>
      <w:tr>
        <w:tc>
          <w:tcPr>
            <w:tcW w:type="dxa" w:w="2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debt_to_income_ratio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0.3498</w:t>
            </w:r>
          </w:p>
        </w:tc>
        <w:tc>
          <w:tcPr>
            <w:tcW w:type="dxa" w:w="1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Higher DTI ⇒ higher risk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credit_score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0.3034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Higher score ⇒ lower risk</w:t>
            </w:r>
          </w:p>
        </w:tc>
      </w:tr>
      <w:tr>
        <w:tc>
          <w:tcPr>
            <w:tcW w:type="dxa" w:w="2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interest_rate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0.0937</w:t>
            </w:r>
          </w:p>
        </w:tc>
        <w:tc>
          <w:tcPr>
            <w:tcW w:type="dxa" w:w="1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Higher rate ⇒ higher risk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delinquency_history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0.0463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More delinquencies ⇒ higher risk</w:t>
            </w:r>
          </w:p>
        </w:tc>
      </w:tr>
    </w:tbl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6.  Model Estimation &amp; Coefficients</w:t>
      </w:r>
    </w:p>
    <w:p>
      <w:pPr>
        <w:spacing w:after="120" w:line="278"/>
      </w:pPr>
      <w:r>
        <w:rPr>
          <w:sz w:val="21"/>
          <w:szCs w:val="21"/>
        </w:rPr>
        <w:t xml:space="preserve">The final logistic regression was estimated on the 14,000 training records using the five WOE-transformed variables. Estimated coefficients are shown below. All coefficients share the same (negative) sign, consistent with the WOE orientation (higher WOE ⇒ lower default), confirming a well-behaved scorecard with no sign reversals.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3400"/>
        <w:gridCol w:w="2900"/>
        <w:gridCol w:w="290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 (WOE)</w:t>
            </w:r>
          </w:p>
        </w:tc>
        <w:tc>
          <w:tcPr>
            <w:tcW w:type="dxa" w:w="29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Coefficient</w:t>
            </w:r>
          </w:p>
        </w:tc>
        <w:tc>
          <w:tcPr>
            <w:tcW w:type="dxa" w:w="29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Univariate IV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Intercept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−1.4684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credit_score</w:t>
            </w:r>
          </w:p>
        </w:tc>
        <w:tc>
          <w:tcPr>
            <w:tcW w:type="dxa" w:w="2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−1.6008</w:t>
            </w:r>
          </w:p>
        </w:tc>
        <w:tc>
          <w:tcPr>
            <w:tcW w:type="dxa" w:w="2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0.3034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debt_to_income_ratio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−1.5489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0.3498</w:t>
            </w:r>
          </w:p>
        </w:tc>
      </w:tr>
      <w:tr>
        <w:tc>
          <w:tcPr>
            <w:tcW w:type="dxa" w:w="3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employment_status</w:t>
            </w:r>
          </w:p>
        </w:tc>
        <w:tc>
          <w:tcPr>
            <w:tcW w:type="dxa" w:w="2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−1.2827</w:t>
            </w:r>
          </w:p>
        </w:tc>
        <w:tc>
          <w:tcPr>
            <w:tcW w:type="dxa" w:w="2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1.9016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interest_rate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−0.2846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0.0937</w:t>
            </w:r>
          </w:p>
        </w:tc>
      </w:tr>
      <w:tr>
        <w:tc>
          <w:tcPr>
            <w:tcW w:type="dxa" w:w="3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delinquency_history</w:t>
            </w:r>
          </w:p>
        </w:tc>
        <w:tc>
          <w:tcPr>
            <w:tcW w:type="dxa" w:w="2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−0.1277</w:t>
            </w:r>
          </w:p>
        </w:tc>
        <w:tc>
          <w:tcPr>
            <w:tcW w:type="dxa" w:w="2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0.0463</w:t>
            </w:r>
          </w:p>
        </w:tc>
      </w:tr>
    </w:tbl>
    <w:p>
      <w:pPr>
        <w:spacing w:after="120" w:line="278"/>
      </w:pPr>
      <w:r>
        <w:rPr>
          <w:sz w:val="21"/>
          <w:szCs w:val="21"/>
        </w:rPr>
        <w:t xml:space="preserve">The full per-bin WOE tables for these variables are provided in Appendix C and constitute the frozen transformation applied in scoring.</w:t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7.  Model Performance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7.1  Discrimination</w:t>
      </w:r>
    </w:p>
    <w:p>
      <w:pPr>
        <w:spacing w:after="120" w:line="278"/>
      </w:pPr>
      <w:r>
        <w:rPr>
          <w:sz w:val="21"/>
          <w:szCs w:val="21"/>
        </w:rPr>
        <w:t xml:space="preserve">Discrimination was assessed on the untouched 30% test sample. The model achieves strong rank-ordering: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3400"/>
        <w:gridCol w:w="2900"/>
        <w:gridCol w:w="2900"/>
      </w:tblGrid>
      <w:tr>
        <w:trPr>
          <w:tblHeader/>
        </w:trPr>
        <w:tc>
          <w:tcPr>
            <w:tcW w:type="dxa" w:w="3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29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Training</w:t>
            </w:r>
          </w:p>
        </w:tc>
        <w:tc>
          <w:tcPr>
            <w:tcW w:type="dxa" w:w="29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(hold-out)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AUC (ROC)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0.8826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0.8871</w:t>
            </w:r>
          </w:p>
        </w:tc>
      </w:tr>
      <w:tr>
        <w:tc>
          <w:tcPr>
            <w:tcW w:type="dxa" w:w="3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Gini (2·AUC − 1)</w:t>
            </w:r>
          </w:p>
        </w:tc>
        <w:tc>
          <w:tcPr>
            <w:tcW w:type="dxa" w:w="2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0.7652</w:t>
            </w:r>
          </w:p>
        </w:tc>
        <w:tc>
          <w:tcPr>
            <w:tcW w:type="dxa" w:w="2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0.7742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KS statistic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0.5766</w:t>
            </w:r>
          </w:p>
        </w:tc>
      </w:tr>
      <w:tr>
        <w:tc>
          <w:tcPr>
            <w:tcW w:type="dxa" w:w="3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Records</w:t>
            </w:r>
          </w:p>
        </w:tc>
        <w:tc>
          <w:tcPr>
            <w:tcW w:type="dxa" w:w="2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14,000</w:t>
            </w:r>
          </w:p>
        </w:tc>
        <w:tc>
          <w:tcPr>
            <w:tcW w:type="dxa" w:w="2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6,000</w:t>
            </w:r>
          </w:p>
        </w:tc>
      </w:tr>
    </w:tbl>
    <w:p>
      <w:pPr>
        <w:pBdr>
          <w:top w:val="single" w:color="2E75B6" w:sz="2"/>
          <w:bottom w:val="single" w:color="2E75B6" w:sz="2"/>
          <w:left w:val="single" w:color="1F4E79" w:sz="12"/>
          <w:right w:val="single" w:color="2E75B6" w:sz="2"/>
        </w:pBdr>
        <w:shd w:fill="DDEBF7" w:color="auto" w:val="clear"/>
        <w:spacing w:after="120" w:before="60"/>
      </w:pPr>
      <w:r>
        <w:rPr>
          <w:i/>
          <w:iCs/>
          <w:color w:val="1A1A1A"/>
          <w:sz w:val="20"/>
          <w:szCs w:val="20"/>
        </w:rPr>
        <w:t xml:space="preserve">Test AUC = 0.887 (Gini 0.774, KS 0.577) — strong discrimination. These are the headline development results.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7.2  Stability / Over-fitting</w:t>
      </w:r>
    </w:p>
    <w:p>
      <w:pPr>
        <w:spacing w:after="120" w:line="278"/>
      </w:pPr>
      <w:r>
        <w:rPr>
          <w:sz w:val="21"/>
          <w:szCs w:val="21"/>
        </w:rPr>
        <w:t xml:space="preserve">The training and test AUC differ by only −0.0045 (test marginally higher), well within acceptable tolerance, indicating the model generalises and is not over-fit. The discipline of estimating all artifacts on training data only (Section 3.3) supports this conclusion. The result is fully reproducible under </w:t>
      </w:r>
      <w:r>
        <w:rPr>
          <w:rFonts w:ascii="Consolas" w:cs="Consolas" w:eastAsia="Consolas" w:hAnsi="Consolas"/>
          <w:color w:val="1F4E79"/>
          <w:sz w:val="19"/>
          <w:szCs w:val="19"/>
        </w:rPr>
        <w:t xml:space="preserve">random_state = 42</w:t>
      </w:r>
      <w:r>
        <w:rPr>
          <w:sz w:val="21"/>
          <w:szCs w:val="21"/>
        </w:rPr>
        <w:t xml:space="preserve">; an independent re-implementation using one-hot encoding of the same five drivers reproduced the test AUC of 0.887, corroborating correctness.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7.3  Sensitivity Analyses</w:t>
      </w:r>
    </w:p>
    <w:p>
      <w:pPr>
        <w:spacing w:after="120" w:line="278"/>
      </w:pPr>
      <w:r>
        <w:rPr>
          <w:sz w:val="21"/>
          <w:szCs w:val="21"/>
        </w:rPr>
        <w:t xml:space="preserve">Two sensitivity runs quantify the influence of the two variables flagged during development: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36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36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Model variant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Final vars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Test AUC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Gini</w:t>
            </w:r>
          </w:p>
        </w:tc>
        <w:tc>
          <w:tcPr>
            <w:tcW w:type="dxa" w:w="1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KS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 — full set (incl. grade_subgrade)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0.8871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0.7742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0.5766</w:t>
            </w:r>
          </w:p>
        </w:tc>
      </w:tr>
      <w:tr>
        <w:tc>
          <w:tcPr>
            <w:tcW w:type="dxa" w:w="3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 — excluding grade_subgrade</w:t>
            </w:r>
          </w:p>
        </w:tc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0.8871</w:t>
            </w:r>
          </w:p>
        </w:tc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0.7742</w:t>
            </w:r>
          </w:p>
        </w:tc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0.5766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 — excluding employment_status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0.7053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0.4107</w:t>
            </w:r>
          </w:p>
        </w:tc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0.2849</w:t>
            </w:r>
          </w:p>
        </w:tc>
      </w:tr>
    </w:tbl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grade_subgrade: </w:t>
      </w:r>
      <w:r>
        <w:rPr>
          <w:sz w:val="21"/>
          <w:szCs w:val="21"/>
        </w:rPr>
        <w:t xml:space="preserve">variants A and B are identical because grade_subgrade is removed by the collinearity gate in both cases. The pre-assigned grade therefore contributes no incremental lift over the raw bureau variables, and the model does not depend on it — resolving the leakage concern raised in the specification.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employment_status: </w:t>
      </w:r>
      <w:r>
        <w:rPr>
          <w:sz w:val="21"/>
          <w:szCs w:val="21"/>
        </w:rPr>
        <w:t xml:space="preserve">removing it lowers test AUC from 0.887 to 0.705, i.e. it accounts for approximately 0.18 of AUC. Its univariate default rates are Retired 0.5%, Employed 11.3%, Self-employed 11.4%, Student 59.3%, Unemployed 81.8%. This is a legitimate origination-time attribute (not derived from the outcome), so it is retained, but its dominance warrants specific attention in validation and fair-lending review.</w:t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8.  Model Assumptions &amp; Limitations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Single-period data / no out-of-time sample. </w:t>
      </w:r>
      <w:r>
        <w:rPr>
          <w:sz w:val="21"/>
          <w:szCs w:val="21"/>
        </w:rPr>
        <w:t xml:space="preserve">The data has no time dimension, so temporal stability and out-of-time performance could not be tested. The 30% hold-out is the only generalisation evidence.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Concentration in one variable. </w:t>
      </w:r>
      <w:r>
        <w:rPr>
          <w:sz w:val="21"/>
          <w:szCs w:val="21"/>
        </w:rPr>
        <w:t xml:space="preserve">employment_status dominates the model (IV 1.90; ≈0.18 of AUC). Concentration risk and its behaviour under population shift should be assessed in validation.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Fair-lending / conduct. </w:t>
      </w:r>
      <w:r>
        <w:rPr>
          <w:sz w:val="21"/>
          <w:szCs w:val="21"/>
        </w:rPr>
        <w:t xml:space="preserve">Demographic fields (gender, marital_status, age) were screened out on IV grounds, but the use of employment_status and any proxy effects should be reviewed against fair-lending requirements before deployment.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Synthetic-looking relationships. </w:t>
      </w:r>
      <w:r>
        <w:rPr>
          <w:sz w:val="21"/>
          <w:szCs w:val="21"/>
        </w:rPr>
        <w:t xml:space="preserve">The exact income identity (annual = 12 × monthly) indicates a generated dataset; treated as data redundancy. Real-portfolio behaviour may differ and should be confirmed on production data.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WOE stability. </w:t>
      </w:r>
      <w:r>
        <w:rPr>
          <w:sz w:val="21"/>
          <w:szCs w:val="21"/>
        </w:rPr>
        <w:t xml:space="preserve">WOE values are reliable only while bin populations remain stable; the monitoring plan (Section 9) tracks population and score stability.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Calibration. </w:t>
      </w:r>
      <w:r>
        <w:rPr>
          <w:sz w:val="21"/>
          <w:szCs w:val="21"/>
        </w:rPr>
        <w:t xml:space="preserve">Development focused on discrimination (AUC). If the model output is used as a calibrated PD (e.g. for pricing or capital), a formal calibration and back-test to observed default rates is required.</w:t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9.  Ongoing Monitoring &amp; Governance</w:t>
      </w:r>
    </w:p>
    <w:p>
      <w:pPr>
        <w:spacing w:after="120" w:line="278"/>
      </w:pPr>
      <w:r>
        <w:rPr>
          <w:sz w:val="21"/>
          <w:szCs w:val="21"/>
        </w:rPr>
        <w:t xml:space="preserve">The following monitoring is recommended once the model is in use, with results reported to Model Risk Management: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2500"/>
        <w:gridCol w:w="3000"/>
        <w:gridCol w:w="1700"/>
        <w:gridCol w:w="2000"/>
      </w:tblGrid>
      <w:tr>
        <w:trPr>
          <w:tblHeader/>
        </w:trPr>
        <w:tc>
          <w:tcPr>
            <w:tcW w:type="dxa" w:w="25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Area</w:t>
            </w:r>
          </w:p>
        </w:tc>
        <w:tc>
          <w:tcPr>
            <w:tcW w:type="dxa" w:w="3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7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Trigger / threshold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Discrimination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AUC / Gini on recent outcomes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Gini drop &gt; 10% vs development</w:t>
            </w:r>
          </w:p>
        </w:tc>
      </w:tr>
      <w:tr>
        <w:tc>
          <w:tcPr>
            <w:tcW w:type="dxa" w:w="2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Score stability</w:t>
            </w:r>
          </w:p>
        </w:tc>
        <w:tc>
          <w:tcPr>
            <w:tcW w:type="dxa" w:w="3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Population Stability Index (PSI)</w:t>
            </w:r>
          </w:p>
        </w:tc>
        <w:tc>
          <w:tcPr>
            <w:tcW w:type="dxa" w:w="17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PSI &gt; 0.10 review; &gt; 0.25 action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Variable stability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Per-variable characteristic PSI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Material shift vs development</w:t>
            </w:r>
          </w:p>
        </w:tc>
      </w:tr>
      <w:tr>
        <w:tc>
          <w:tcPr>
            <w:tcW w:type="dxa" w:w="2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Calibration</w:t>
            </w:r>
          </w:p>
        </w:tc>
        <w:tc>
          <w:tcPr>
            <w:tcW w:type="dxa" w:w="3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Predicted vs observed default rate</w:t>
            </w:r>
          </w:p>
        </w:tc>
        <w:tc>
          <w:tcPr>
            <w:tcW w:type="dxa" w:w="17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Persistent bias by score band</w:t>
            </w:r>
          </w:p>
        </w:tc>
      </w:tr>
      <w:tr>
        <w:tc>
          <w:tcPr>
            <w:tcW w:type="dxa" w:w="2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Override / usage</w:t>
            </w:r>
          </w:p>
        </w:tc>
        <w:tc>
          <w:tcPr>
            <w:tcW w:type="dxa" w:w="3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Override rate &amp; reasons</w:t>
            </w:r>
          </w:p>
        </w:tc>
        <w:tc>
          <w:tcPr>
            <w:tcW w:type="dxa" w:w="17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Quarterly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Elevated or trending overrides</w:t>
            </w:r>
          </w:p>
        </w:tc>
      </w:tr>
    </w:tbl>
    <w:p>
      <w:pPr>
        <w:spacing w:after="120" w:line="278"/>
      </w:pPr>
      <w:r>
        <w:rPr>
          <w:sz w:val="21"/>
          <w:szCs w:val="21"/>
        </w:rPr>
        <w:t xml:space="preserve">A full revalidation is recommended at least annually, on model change, or when monitoring triggers are breached.</w:t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10.  Implementation &amp; Reproducibility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Pipeline: </w:t>
      </w:r>
      <w:r>
        <w:rPr>
          <w:sz w:val="21"/>
          <w:szCs w:val="21"/>
        </w:rPr>
        <w:t xml:space="preserve">pd_model_pipeline.py implements the end-to-end process (split → bin → WOE → select → fit → evaluate).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Scoring: </w:t>
      </w:r>
      <w:r>
        <w:rPr>
          <w:sz w:val="21"/>
          <w:szCs w:val="21"/>
        </w:rPr>
        <w:t xml:space="preserve">production scoring applies the frozen bin edges and WOE maps (results/woe_tables_variantA.json) followed by the linear score and logistic transform using the coefficients in Section 6.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Environment: </w:t>
      </w:r>
      <w:r>
        <w:rPr>
          <w:sz w:val="21"/>
          <w:szCs w:val="21"/>
        </w:rPr>
        <w:t xml:space="preserve">Python 3, scikit-learn, pandas, numpy; fixed random seed 42 ensures bit-identical reproduction.</w:t>
      </w:r>
    </w:p>
    <w:p>
      <w:pPr>
        <w:pStyle w:val="ListParagraph"/>
        <w:numPr>
          <w:ilvl w:val="0"/>
          <w:numId w:val="1"/>
        </w:numPr>
        <w:spacing w:after="70" w:line="268"/>
      </w:pPr>
      <w:r>
        <w:rPr>
          <w:b/>
          <w:bCs/>
          <w:sz w:val="21"/>
          <w:szCs w:val="21"/>
        </w:rPr>
        <w:t xml:space="preserve">Artifacts: </w:t>
      </w:r>
      <w:r>
        <w:rPr>
          <w:sz w:val="21"/>
          <w:szCs w:val="21"/>
        </w:rPr>
        <w:t xml:space="preserve">results/pd_model_results.json (all variants), metrics_summary.csv, feature_iv.csv, coefficients_variantA.csv, woe_tables_variantA.json.</w:t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11.  Conclusion &amp; Recommendation</w:t>
      </w:r>
    </w:p>
    <w:p>
      <w:pPr>
        <w:spacing w:after="120" w:line="278"/>
      </w:pPr>
      <w:r>
        <w:rPr>
          <w:sz w:val="21"/>
          <w:szCs w:val="21"/>
        </w:rPr>
        <w:t xml:space="preserve">The developed PD model is a transparent WOE logistic-regression scorecard that discriminates strongly on an untouched hold-out sample (test AUC 0.887, Gini 0.774, KS 0.577) with no material over-fitting and economically coherent, monotonic variable behaviour. The pre-assigned loan grade adds no incremental value and is not relied upon. The model is recommended to proceed to independent validation, subject to the limitations in Section 8 — in particular the absence of an out-of-time sample, the dominance of employment status, and confirmation of fair-lending compliance.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Appendix A — Variable Inventory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600"/>
        <w:gridCol w:w="2600"/>
        <w:gridCol w:w="1500"/>
        <w:gridCol w:w="3300"/>
        <w:gridCol w:w="1200"/>
      </w:tblGrid>
      <w:tr>
        <w:trPr>
          <w:tblHeader/>
        </w:trPr>
        <w:tc>
          <w:tcPr>
            <w:tcW w:type="dxa" w:w="6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6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5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3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2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 model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Borrower age (years)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gender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Gender</w:t>
            </w:r>
          </w:p>
        </w:tc>
        <w:tc>
          <w:tcPr>
            <w:tcW w:type="dxa" w:w="1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marital_status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Marital status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education_level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Education level</w:t>
            </w:r>
          </w:p>
        </w:tc>
        <w:tc>
          <w:tcPr>
            <w:tcW w:type="dxa" w:w="1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annual_income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Yearly income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monthly_income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income (dropped, redundant)</w:t>
            </w:r>
          </w:p>
        </w:tc>
        <w:tc>
          <w:tcPr>
            <w:tcW w:type="dxa" w:w="1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Excluded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employment_status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Employment type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debt_to_income_ratio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Debt-to-income ratio</w:t>
            </w:r>
          </w:p>
        </w:tc>
        <w:tc>
          <w:tcPr>
            <w:tcW w:type="dxa" w:w="1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credit_score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Bureau credit score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loan_amount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 amount</w:t>
            </w:r>
          </w:p>
        </w:tc>
        <w:tc>
          <w:tcPr>
            <w:tcW w:type="dxa" w:w="1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loan_purpose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Purpose of loan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interest_rate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Annual interest rate (%)</w:t>
            </w:r>
          </w:p>
        </w:tc>
        <w:tc>
          <w:tcPr>
            <w:tcW w:type="dxa" w:w="1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loan_term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Term (months)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installment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Monthly installment</w:t>
            </w:r>
          </w:p>
        </w:tc>
        <w:tc>
          <w:tcPr>
            <w:tcW w:type="dxa" w:w="1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grade_subgrade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Categorical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Assigned risk grade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(collinear)</w:t>
            </w:r>
          </w:p>
        </w:tc>
      </w:tr>
      <w:tr>
        <w:tc>
          <w:tcPr>
            <w:tcW w:type="dxa" w:w="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num_of_open_accounts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Active credit accounts</w:t>
            </w:r>
          </w:p>
        </w:tc>
        <w:tc>
          <w:tcPr>
            <w:tcW w:type="dxa" w:w="1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total_credit_limit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credit limit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current_balance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Outstanding balance</w:t>
            </w:r>
          </w:p>
        </w:tc>
        <w:tc>
          <w:tcPr>
            <w:tcW w:type="dxa" w:w="1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delinquency_history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 of late payments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public_records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Negative public records</w:t>
            </w:r>
          </w:p>
        </w:tc>
        <w:tc>
          <w:tcPr>
            <w:tcW w:type="dxa" w:w="1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21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num_of_delinquencies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Numeric</w:t>
            </w:r>
          </w:p>
        </w:tc>
        <w:tc>
          <w:tcPr>
            <w:tcW w:type="dxa" w:w="33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 delinquencies</w:t>
            </w:r>
          </w:p>
        </w:tc>
        <w:tc>
          <w:tcPr>
            <w:tcW w:type="dxa" w:w="1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(collinear)</w:t>
            </w:r>
          </w:p>
        </w:tc>
      </w:tr>
      <w:tr>
        <w:tc>
          <w:tcPr>
            <w:tcW w:type="dxa" w:w="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loan_paid_back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</w:t>
            </w:r>
          </w:p>
        </w:tc>
        <w:tc>
          <w:tcPr>
            <w:tcW w:type="dxa" w:w="33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 = paid, 0 = default</w:t>
            </w:r>
          </w:p>
        </w:tc>
        <w:tc>
          <w:tcPr>
            <w:tcW w:type="dxa" w:w="1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Appendix B — Information Value Ranking (training)</w:t>
      </w:r>
    </w:p>
    <w:tbl>
      <w:tblPr>
        <w:tblW w:type="dxa" w:w="92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1000"/>
        <w:gridCol w:w="3200"/>
        <w:gridCol w:w="1500"/>
        <w:gridCol w:w="1900"/>
        <w:gridCol w:w="1600"/>
      </w:tblGrid>
      <w:tr>
        <w:trPr>
          <w:tblHeader/>
        </w:trPr>
        <w:tc>
          <w:tcPr>
            <w:tcW w:type="dxa" w:w="1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32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Variable</w:t>
            </w:r>
          </w:p>
        </w:tc>
        <w:tc>
          <w:tcPr>
            <w:tcW w:type="dxa" w:w="15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IV</w:t>
            </w:r>
          </w:p>
        </w:tc>
        <w:tc>
          <w:tcPr>
            <w:tcW w:type="dxa" w:w="19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Strength</w:t>
            </w:r>
          </w:p>
        </w:tc>
        <w:tc>
          <w:tcPr>
            <w:tcW w:type="dxa" w:w="16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Retained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employment_status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1.9016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Very strong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debt_to_income_ratio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0.3498</w:t>
            </w:r>
          </w:p>
        </w:tc>
        <w:tc>
          <w:tcPr>
            <w:tcW w:type="dxa" w:w="1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Strong</w:t>
            </w:r>
          </w:p>
        </w:tc>
        <w:tc>
          <w:tcPr>
            <w:tcW w:type="dxa" w:w="1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credit_score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0.3034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Strong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grade_subgrade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0.2696</w:t>
            </w:r>
          </w:p>
        </w:tc>
        <w:tc>
          <w:tcPr>
            <w:tcW w:type="dxa" w:w="1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Medium</w:t>
            </w:r>
          </w:p>
        </w:tc>
        <w:tc>
          <w:tcPr>
            <w:tcW w:type="dxa" w:w="1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(collinear)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interest_rate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0.0937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Weak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delinquency_history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0.0463</w:t>
            </w:r>
          </w:p>
        </w:tc>
        <w:tc>
          <w:tcPr>
            <w:tcW w:type="dxa" w:w="1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Weak</w:t>
            </w:r>
          </w:p>
        </w:tc>
        <w:tc>
          <w:tcPr>
            <w:tcW w:type="dxa" w:w="1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num_of_delinquencies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0.0340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Weak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(collinear)</w:t>
            </w:r>
          </w:p>
        </w:tc>
      </w:tr>
      <w:tr>
        <w:tc>
          <w:tcPr>
            <w:tcW w:type="dxa" w:w="1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total_credit_limit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0.0149</w:t>
            </w:r>
          </w:p>
        </w:tc>
        <w:tc>
          <w:tcPr>
            <w:tcW w:type="dxa" w:w="1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Weak</w:t>
            </w:r>
          </w:p>
        </w:tc>
        <w:tc>
          <w:tcPr>
            <w:tcW w:type="dxa" w:w="1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(&lt; floor after gates)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current_balance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0.0136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Weak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annual_income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0.0135</w:t>
            </w:r>
          </w:p>
        </w:tc>
        <w:tc>
          <w:tcPr>
            <w:tcW w:type="dxa" w:w="1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Weak</w:t>
            </w:r>
          </w:p>
        </w:tc>
        <w:tc>
          <w:tcPr>
            <w:tcW w:type="dxa" w:w="1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loan_amount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0.0090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installment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0.0088</w:t>
            </w:r>
          </w:p>
        </w:tc>
        <w:tc>
          <w:tcPr>
            <w:tcW w:type="dxa" w:w="1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age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0.0076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loan_purpose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0.0073</w:t>
            </w:r>
          </w:p>
        </w:tc>
        <w:tc>
          <w:tcPr>
            <w:tcW w:type="dxa" w:w="1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education_level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0.0036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num_of_open_accounts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0.0028</w:t>
            </w:r>
          </w:p>
        </w:tc>
        <w:tc>
          <w:tcPr>
            <w:tcW w:type="dxa" w:w="1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marital_status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0.0019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18</w:t>
            </w:r>
          </w:p>
        </w:tc>
        <w:tc>
          <w:tcPr>
            <w:tcW w:type="dxa" w:w="3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gender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0.0004</w:t>
            </w:r>
          </w:p>
        </w:tc>
        <w:tc>
          <w:tcPr>
            <w:tcW w:type="dxa" w:w="1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19</w:t>
            </w:r>
          </w:p>
        </w:tc>
        <w:tc>
          <w:tcPr>
            <w:tcW w:type="dxa" w:w="3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loan_term</w:t>
            </w:r>
          </w:p>
        </w:tc>
        <w:tc>
          <w:tcPr>
            <w:tcW w:type="dxa" w:w="15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0.0001</w:t>
            </w:r>
          </w:p>
        </w:tc>
        <w:tc>
          <w:tcPr>
            <w:tcW w:type="dxa" w:w="19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1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3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public_records</w:t>
            </w:r>
          </w:p>
        </w:tc>
        <w:tc>
          <w:tcPr>
            <w:tcW w:type="dxa" w:w="15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0.0000</w:t>
            </w:r>
          </w:p>
        </w:tc>
        <w:tc>
          <w:tcPr>
            <w:tcW w:type="dxa" w:w="19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None</w:t>
            </w:r>
          </w:p>
        </w:tc>
        <w:tc>
          <w:tcPr>
            <w:tcW w:type="dxa" w:w="1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F4E79"/>
          <w:sz w:val="30"/>
          <w:szCs w:val="30"/>
        </w:rPr>
        <w:t xml:space="preserve">Appendix C — WOE Bin Tables (final variables)</w:t>
      </w:r>
    </w:p>
    <w:p>
      <w:pPr>
        <w:spacing w:after="120" w:line="278"/>
      </w:pPr>
      <w:r>
        <w:rPr>
          <w:sz w:val="21"/>
          <w:szCs w:val="21"/>
        </w:rPr>
        <w:t xml:space="preserve">Frozen from the training sample; higher WOE indicates lower default risk.</w:t>
      </w:r>
    </w:p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C.1  debt_to_income_ratio  (IV 0.3498)</w:t>
      </w:r>
    </w:p>
    <w:tbl>
      <w:tblPr>
        <w:tblW w:type="dxa" w:w="7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1400"/>
        <w:gridCol w:w="4000"/>
        <w:gridCol w:w="20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Bin</w:t>
            </w:r>
          </w:p>
        </w:tc>
        <w:tc>
          <w:tcPr>
            <w:tcW w:type="dxa" w:w="4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2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≤ 0.08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+1.1381</w:t>
            </w:r>
          </w:p>
        </w:tc>
      </w:tr>
      <w:tr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0.08 – 0.12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+0.4359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0.12 – 0.18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+0.1548</w:t>
            </w:r>
          </w:p>
        </w:tc>
      </w:tr>
      <w:tr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0.18 – 0.24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−0.2033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0.24 – 0.33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−0.4921</w:t>
            </w:r>
          </w:p>
        </w:tc>
      </w:tr>
      <w:tr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&gt; 0.33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−0.9183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C.2  credit_score  (IV 0.3034)</w:t>
      </w:r>
    </w:p>
    <w:tbl>
      <w:tblPr>
        <w:tblW w:type="dxa" w:w="7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1400"/>
        <w:gridCol w:w="4000"/>
        <w:gridCol w:w="20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Bin</w:t>
            </w:r>
          </w:p>
        </w:tc>
        <w:tc>
          <w:tcPr>
            <w:tcW w:type="dxa" w:w="4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2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≤ 589.5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−0.6861</w:t>
            </w:r>
          </w:p>
        </w:tc>
      </w:tr>
      <w:tr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589.5 – 640.5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−0.4426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640.5 – 681.5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−0.1533</w:t>
            </w:r>
          </w:p>
        </w:tc>
      </w:tr>
      <w:tr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681.5 – 723.5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+0.1365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723.5 – 763.5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+0.6375</w:t>
            </w:r>
          </w:p>
        </w:tc>
      </w:tr>
      <w:tr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&gt; 763.5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+1.4043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C.3  interest_rate  (IV 0.0937)</w:t>
      </w:r>
    </w:p>
    <w:tbl>
      <w:tblPr>
        <w:tblW w:type="dxa" w:w="7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1400"/>
        <w:gridCol w:w="4000"/>
        <w:gridCol w:w="20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Bin</w:t>
            </w:r>
          </w:p>
        </w:tc>
        <w:tc>
          <w:tcPr>
            <w:tcW w:type="dxa" w:w="4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Range (%)</w:t>
            </w:r>
          </w:p>
        </w:tc>
        <w:tc>
          <w:tcPr>
            <w:tcW w:type="dxa" w:w="2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≤ 9.09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+0.6930</w:t>
            </w:r>
          </w:p>
        </w:tc>
      </w:tr>
      <w:tr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9.09 – 11.39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+0.2498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11.39 – 12.68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+0.1074</w:t>
            </w:r>
          </w:p>
        </w:tc>
      </w:tr>
      <w:tr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12.68 – 14.05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−0.1119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14.05 – 15.18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−0.2996</w:t>
            </w:r>
          </w:p>
        </w:tc>
      </w:tr>
      <w:tr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&gt; 15.18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−0.4515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C.4  delinquency_history  (IV 0.0463)</w:t>
      </w:r>
    </w:p>
    <w:tbl>
      <w:tblPr>
        <w:tblW w:type="dxa" w:w="7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1400"/>
        <w:gridCol w:w="4000"/>
        <w:gridCol w:w="2000"/>
      </w:tblGrid>
      <w:tr>
        <w:trPr>
          <w:tblHeader/>
        </w:trPr>
        <w:tc>
          <w:tcPr>
            <w:tcW w:type="dxa" w:w="14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Bin</w:t>
            </w:r>
          </w:p>
        </w:tc>
        <w:tc>
          <w:tcPr>
            <w:tcW w:type="dxa" w:w="4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Late payments</w:t>
            </w:r>
          </w:p>
        </w:tc>
        <w:tc>
          <w:tcPr>
            <w:tcW w:type="dxa" w:w="20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+0.3038</w:t>
            </w:r>
          </w:p>
        </w:tc>
      </w:tr>
      <w:tr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4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+0.1201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+0.0529</w:t>
            </w:r>
          </w:p>
        </w:tc>
      </w:tr>
      <w:tr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4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−0.1385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4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−0.2818</w:t>
            </w:r>
          </w:p>
        </w:tc>
      </w:tr>
      <w:tr>
        <w:tc>
          <w:tcPr>
            <w:tcW w:type="dxa" w:w="14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4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5+</w:t>
            </w:r>
          </w:p>
        </w:tc>
        <w:tc>
          <w:tcPr>
            <w:tcW w:type="dxa" w:w="20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−0.5164</w:t>
            </w:r>
          </w:p>
        </w:tc>
      </w:tr>
    </w:tbl>
    <w:p>
      <w:pPr>
        <w:pStyle w:val="Heading2"/>
        <w:spacing w:after="90" w:before="220"/>
      </w:pPr>
      <w:r>
        <w:rPr>
          <w:b/>
          <w:bCs/>
          <w:color w:val="2E75B6"/>
          <w:sz w:val="25"/>
          <w:szCs w:val="25"/>
        </w:rPr>
        <w:t xml:space="preserve">C.5  employment_status  (IV 1.9016)</w:t>
      </w:r>
    </w:p>
    <w:tbl>
      <w:tblPr>
        <w:tblW w:type="dxa" w:w="740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3"/>
          <w:insideV w:val="single" w:color="D9D9D9" w:sz="3"/>
        </w:tblBorders>
      </w:tblPr>
      <w:tblGrid>
        <w:gridCol w:w="2600"/>
        <w:gridCol w:w="2600"/>
        <w:gridCol w:w="2200"/>
      </w:tblGrid>
      <w:tr>
        <w:trPr>
          <w:tblHeader/>
        </w:trPr>
        <w:tc>
          <w:tcPr>
            <w:tcW w:type="dxa" w:w="26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6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Default rate</w:t>
            </w:r>
          </w:p>
        </w:tc>
        <w:tc>
          <w:tcPr>
            <w:tcW w:type="dxa" w:w="2200"/>
            <w:shd w:fill="1F4E79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WOE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Retired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0.51%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+3.4841</w:t>
            </w:r>
          </w:p>
        </w:tc>
      </w:tr>
      <w:tr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Self-employed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11.43%</w:t>
            </w:r>
          </w:p>
        </w:tc>
        <w:tc>
          <w:tcPr>
            <w:tcW w:type="dxa" w:w="2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+0.6951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Employed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11.30%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+0.6724</w:t>
            </w:r>
          </w:p>
        </w:tc>
      </w:tr>
      <w:tr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Student</w:t>
            </w:r>
          </w:p>
        </w:tc>
        <w:tc>
          <w:tcPr>
            <w:tcW w:type="dxa" w:w="26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59.28%</w:t>
            </w:r>
          </w:p>
        </w:tc>
        <w:tc>
          <w:tcPr>
            <w:tcW w:type="dxa" w:w="2200"/>
            <w:shd w:fill="F2F7FC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−1.7344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Unemployed</w:t>
            </w:r>
          </w:p>
        </w:tc>
        <w:tc>
          <w:tcPr>
            <w:tcW w:type="dxa" w:w="26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81.83%</w:t>
            </w:r>
          </w:p>
        </w:tc>
        <w:tc>
          <w:tcPr>
            <w:tcW w:type="dxa" w:w="2200"/>
            <w:shd w:fill="FFFFFF" w:color="auto" w:val="clear"/>
            <w:tcMar>
              <w:top w:type="dxa" w:w="50"/>
              <w:left w:type="dxa" w:w="85"/>
              <w:bottom w:type="dxa" w:w="50"/>
              <w:right w:type="dxa" w:w="85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−2.9024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/>
      </w:pBdr>
      <w:jc w:val="center"/>
    </w:pPr>
    <w:r>
      <w:rPr>
        <w:color w:val="595959"/>
        <w:sz w:val="15"/>
        <w:szCs w:val="15"/>
      </w:rPr>
      <w:t xml:space="preserve">Internal / Confidential   |   Page </w:t>
    </w:r>
    <w:r>
      <w:rPr>
        <w:color w:val="59595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5"/>
        <w:szCs w:val="15"/>
      </w:rPr>
      <w:t xml:space="preserve"> of </w:t>
    </w:r>
    <w:r>
      <w:rPr>
        <w:color w:val="595959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/>
      </w:pBdr>
      <w:jc w:val="right"/>
    </w:pPr>
    <w:r>
      <w:rPr>
        <w:color w:val="595959"/>
        <w:sz w:val="15"/>
        <w:szCs w:val="15"/>
      </w:rPr>
      <w:t xml:space="preserve">PD Model Development Document  ·  PD-RETAIL-2026-01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2026-07-15T10:22:23.082Z</dcterms:created>
  <dcterms:modified xsi:type="dcterms:W3CDTF">2026-07-15T10:22:23.082Z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