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Портал</w:t>
      </w:r>
    </w:p>
    <w:p w:rsidR="00A76782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УЧАЩИХСЯ И СОТРУДНИКОВ</w:t>
      </w:r>
    </w:p>
    <w:p w:rsidR="00A76782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МОСКОВСКОГО ПОЛИТЕХА</w:t>
      </w:r>
    </w:p>
    <w:p w:rsidR="0058772B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Аналитическая записка</w:t>
      </w:r>
    </w:p>
    <w:p w:rsidR="0058772B" w:rsidRPr="00B56B82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635D9D">
        <w:rPr>
          <w:rFonts w:cs="Times New Roman"/>
          <w:b/>
        </w:rPr>
        <w:t>8</w:t>
      </w:r>
    </w:p>
    <w:p w:rsidR="0058772B" w:rsidRDefault="0058772B" w:rsidP="007B6D31">
      <w:pPr>
        <w:spacing w:after="120"/>
        <w:ind w:firstLine="0"/>
        <w:jc w:val="center"/>
        <w:rPr>
          <w:rFonts w:cs="Times New Roman"/>
          <w:bCs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5816F3" w:rsidRPr="007631AD" w:rsidRDefault="005816F3" w:rsidP="00700572">
            <w:pPr>
              <w:widowControl w:val="0"/>
              <w:jc w:val="left"/>
              <w:rPr>
                <w:lang w:val="en-US"/>
              </w:rPr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37261B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CF5659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6961196" w:history="1">
            <w:r w:rsidR="00CF5659" w:rsidRPr="00415C60">
              <w:rPr>
                <w:rStyle w:val="a9"/>
                <w:noProof/>
              </w:rPr>
              <w:t>Введение</w:t>
            </w:r>
            <w:r w:rsidR="00CF5659">
              <w:rPr>
                <w:noProof/>
              </w:rPr>
              <w:tab/>
            </w:r>
            <w:r w:rsidR="00CF5659">
              <w:rPr>
                <w:noProof/>
              </w:rPr>
              <w:fldChar w:fldCharType="begin"/>
            </w:r>
            <w:r w:rsidR="00CF5659">
              <w:rPr>
                <w:noProof/>
              </w:rPr>
              <w:instrText xml:space="preserve"> PAGEREF _Toc66961196 \h </w:instrText>
            </w:r>
            <w:r w:rsidR="00CF5659">
              <w:rPr>
                <w:noProof/>
              </w:rPr>
            </w:r>
            <w:r w:rsidR="00CF5659">
              <w:rPr>
                <w:noProof/>
              </w:rPr>
              <w:fldChar w:fldCharType="separate"/>
            </w:r>
            <w:r w:rsidR="00CF5659">
              <w:rPr>
                <w:noProof/>
              </w:rPr>
              <w:t>4</w:t>
            </w:r>
            <w:r w:rsidR="00CF5659"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197" w:history="1">
            <w:r w:rsidRPr="00415C60">
              <w:rPr>
                <w:rStyle w:val="a9"/>
                <w:noProof/>
              </w:rPr>
              <w:t>1 Используемые компоненты и проблемы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198" w:history="1">
            <w:r w:rsidRPr="00415C60">
              <w:rPr>
                <w:rStyle w:val="a9"/>
                <w:noProof/>
              </w:rPr>
              <w:t>1.1</w:t>
            </w:r>
            <w:r w:rsidR="00E1773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 xml:space="preserve"> </w:t>
            </w:r>
            <w:r w:rsidRPr="00415C60">
              <w:rPr>
                <w:rStyle w:val="a9"/>
                <w:noProof/>
              </w:rPr>
              <w:t>Личный кабинет учащихся и сотрудников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199" w:history="1">
            <w:r w:rsidRPr="00415C60">
              <w:rPr>
                <w:rStyle w:val="a9"/>
                <w:noProof/>
              </w:rPr>
              <w:t xml:space="preserve">1.2 </w:t>
            </w:r>
            <w:r w:rsidRPr="00415C60">
              <w:rPr>
                <w:rStyle w:val="a9"/>
                <w:noProof/>
                <w:lang w:val="en-US"/>
              </w:rPr>
              <w:t>LMS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200" w:history="1">
            <w:r w:rsidRPr="00415C60">
              <w:rPr>
                <w:rStyle w:val="a9"/>
                <w:noProof/>
              </w:rPr>
              <w:t>1.3 Программные решения компании 1C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201" w:history="1">
            <w:r w:rsidRPr="00415C60">
              <w:rPr>
                <w:rStyle w:val="a9"/>
                <w:noProof/>
              </w:rPr>
              <w:t>1.4 Алгоритм составления расписания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F5659" w:rsidRDefault="00CF56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61202" w:history="1">
            <w:r w:rsidRPr="00415C60">
              <w:rPr>
                <w:rStyle w:val="a9"/>
                <w:noProof/>
              </w:rPr>
              <w:t>2 Потенциальные решения проблем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_Toc66961202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58772B" w:rsidRDefault="0058772B"/>
    <w:p w:rsidR="002C20B1" w:rsidRPr="002C20B1" w:rsidRDefault="002C20B1" w:rsidP="002C20B1"/>
    <w:p w:rsidR="0058772B" w:rsidRPr="009572F6" w:rsidRDefault="0008498D" w:rsidP="00AD7014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>
        <w:rPr>
          <w:lang w:val="en-US"/>
        </w:rPr>
        <w:t xml:space="preserve"> </w:t>
      </w:r>
      <w:r w:rsidR="009572F6">
        <w:t>и определения</w:t>
      </w:r>
    </w:p>
    <w:p w:rsidR="0058772B" w:rsidRDefault="0008498D" w:rsidP="00436390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436390">
      <w:pPr>
        <w:pStyle w:val="a"/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436390">
      <w:pPr>
        <w:pStyle w:val="a"/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58772B" w:rsidRDefault="0008498D" w:rsidP="00436390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58772B" w:rsidRDefault="0008498D" w:rsidP="00436390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436390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436390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436390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436390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436390">
      <w:pPr>
        <w:pStyle w:val="a"/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58772B" w:rsidRDefault="002576D7">
      <w:pPr>
        <w:pStyle w:val="1"/>
      </w:pPr>
      <w:bookmarkStart w:id="1" w:name="_Toc66961196"/>
      <w:r>
        <w:lastRenderedPageBreak/>
        <w:t>Вв</w:t>
      </w:r>
      <w:r w:rsidR="000A1731">
        <w:t>едение</w:t>
      </w:r>
      <w:bookmarkEnd w:id="1"/>
    </w:p>
    <w:p w:rsidR="00E30A38" w:rsidRPr="000A1731" w:rsidRDefault="00EA5B1E" w:rsidP="00EA5B1E">
      <w:r>
        <w:t>Настоящая аналитическая записка составлена п</w:t>
      </w:r>
      <w:r w:rsidR="000A1731">
        <w:t>о результатам анализа</w:t>
      </w:r>
      <w:r>
        <w:t xml:space="preserve"> организации Московского политехнического университета</w:t>
      </w:r>
      <w:r w:rsidR="000A1731">
        <w:t xml:space="preserve">, проведённого в период с </w:t>
      </w:r>
      <w:r>
        <w:t>4</w:t>
      </w:r>
      <w:r w:rsidR="000A1731">
        <w:t xml:space="preserve"> </w:t>
      </w:r>
      <w:r>
        <w:t>марта 2021 года по 10</w:t>
      </w:r>
      <w:r w:rsidR="000A1731">
        <w:t xml:space="preserve"> марта 2021 года</w:t>
      </w:r>
      <w:r w:rsidR="00F249DA">
        <w:t>,</w:t>
      </w:r>
      <w:r w:rsidR="000A1731">
        <w:t xml:space="preserve"> </w:t>
      </w:r>
      <w:r>
        <w:t>с точки зрения предполагаемого количества пользователей системы, имеющихся в распоряжении организации систем, программного обеспечения, баз данных и их предполагаемой интеграции в единую систему.</w:t>
      </w:r>
    </w:p>
    <w:p w:rsidR="000A1731" w:rsidRDefault="002E6164" w:rsidP="000A1731">
      <w:pPr>
        <w:pStyle w:val="1"/>
      </w:pPr>
      <w:bookmarkStart w:id="2" w:name="_Toc66961197"/>
      <w:r>
        <w:lastRenderedPageBreak/>
        <w:t>1</w:t>
      </w:r>
      <w:r w:rsidR="00247B59">
        <w:t xml:space="preserve"> </w:t>
      </w:r>
      <w:r w:rsidR="00BE3681">
        <w:t>Используемые компоненты и проблемы</w:t>
      </w:r>
      <w:bookmarkEnd w:id="2"/>
    </w:p>
    <w:p w:rsidR="000A1731" w:rsidRDefault="00AD66D2" w:rsidP="00AD66D2">
      <w:pPr>
        <w:pStyle w:val="2"/>
        <w:numPr>
          <w:ilvl w:val="1"/>
          <w:numId w:val="3"/>
        </w:numPr>
      </w:pPr>
      <w:bookmarkStart w:id="3" w:name="_Toc66961198"/>
      <w:r>
        <w:t>Личный кабинет учащихся и сотрудников</w:t>
      </w:r>
      <w:bookmarkEnd w:id="3"/>
    </w:p>
    <w:p w:rsidR="00585718" w:rsidRDefault="00585718" w:rsidP="00585718">
      <w:r>
        <w:t>Личный кабинет учащихся и сотрудников уже был предметом анализа прошлой аналитической записки (№1 от 04 марта 2021 года). В ходе этого анализа были выявлены ряд проблем системы и потенциальных решений.</w:t>
      </w:r>
    </w:p>
    <w:p w:rsidR="00DB430F" w:rsidRDefault="009C7B4D" w:rsidP="00585718">
      <w:r>
        <w:t xml:space="preserve">Программное решение не интегрировано с другими в единую систему. </w:t>
      </w:r>
      <w:r w:rsidR="00E01D4D">
        <w:t>Например, ф</w:t>
      </w:r>
      <w:r>
        <w:t xml:space="preserve">ункционал личных сообщений </w:t>
      </w:r>
      <w:r w:rsidR="00DB430F">
        <w:t xml:space="preserve">дублируется у ЛК и системы ЛМС. </w:t>
      </w:r>
      <w:r w:rsidR="00B368EB">
        <w:t>В системах используются</w:t>
      </w:r>
      <w:r w:rsidR="00DB430F">
        <w:t xml:space="preserve"> раздельные аккаунты. Третий отдельный </w:t>
      </w:r>
      <w:r w:rsidR="007F051A">
        <w:t xml:space="preserve">аккаунт используется для </w:t>
      </w:r>
      <w:r w:rsidR="007F051A" w:rsidRPr="000F6F84">
        <w:t>конкурса ППС</w:t>
      </w:r>
      <w:r w:rsidR="007F051A">
        <w:t xml:space="preserve"> университета.</w:t>
      </w:r>
    </w:p>
    <w:p w:rsidR="009C7B4D" w:rsidRDefault="009C7B4D" w:rsidP="00585718">
      <w:r>
        <w:t>Система управле</w:t>
      </w:r>
      <w:r w:rsidR="00DB430F">
        <w:t>ния ведомостями не интегрирована</w:t>
      </w:r>
      <w:r>
        <w:t xml:space="preserve"> с ЛК по дизайну и навигации, хотя и доступна из личного кабинета</w:t>
      </w:r>
      <w:r w:rsidR="00DB430F">
        <w:t xml:space="preserve"> по той же учётной записи.</w:t>
      </w:r>
    </w:p>
    <w:p w:rsidR="00224EB8" w:rsidRPr="00585718" w:rsidRDefault="00224EB8" w:rsidP="00585718">
      <w:r>
        <w:t xml:space="preserve">Личный кабинет используется всеми организационными подразделениями университета: учащимися, </w:t>
      </w:r>
      <w:r w:rsidR="00D85DE4">
        <w:t>преподавателями, сотрудниками, профсоюзной организацией</w:t>
      </w:r>
      <w:r>
        <w:t>, ЦРС, библиотекой и другими.</w:t>
      </w:r>
      <w:r w:rsidR="009A42FD">
        <w:t xml:space="preserve"> Ориентировочное число учащихся и студентов факультета Информационных технологий – две тысячи человек. Так как факультет Информационных технологий – крупнейший в университете, оставшиеся 11 факультетов можно пр</w:t>
      </w:r>
      <w:r w:rsidR="001B262A">
        <w:t>иравнять</w:t>
      </w:r>
      <w:r w:rsidR="00BE5235">
        <w:t xml:space="preserve"> по числу пользователей к нему.</w:t>
      </w:r>
      <w:r w:rsidR="00732B4A">
        <w:t xml:space="preserve"> </w:t>
      </w:r>
      <w:r w:rsidR="00EA66D9">
        <w:t xml:space="preserve">Необходимо также включить </w:t>
      </w:r>
      <w:r w:rsidR="002C409D">
        <w:t xml:space="preserve">примерное число </w:t>
      </w:r>
      <w:r w:rsidR="00EA66D9">
        <w:t>сотрудников</w:t>
      </w:r>
      <w:r w:rsidR="002C409D">
        <w:t xml:space="preserve"> университета</w:t>
      </w:r>
      <w:r w:rsidR="00EA66D9">
        <w:t>. Исходя из телефонного справочника Московского Политеха в университете около ста сотрудников</w:t>
      </w:r>
      <w:r w:rsidR="00241072">
        <w:t xml:space="preserve"> с выделенными телефонными линиями</w:t>
      </w:r>
      <w:bookmarkStart w:id="4" w:name="_GoBack"/>
      <w:bookmarkEnd w:id="4"/>
      <w:r w:rsidR="00102396">
        <w:t>, добавим лишнюю тысячу</w:t>
      </w:r>
      <w:r w:rsidR="00EA66D9">
        <w:t xml:space="preserve">. </w:t>
      </w:r>
      <w:r w:rsidR="00732B4A">
        <w:t>Итого – общее ориентировочное количество пользователей личного кабинета:</w:t>
      </w:r>
      <w:r w:rsidR="00EA66D9">
        <w:t xml:space="preserve"> двадцать </w:t>
      </w:r>
      <w:r w:rsidR="00102396">
        <w:t>пять тысяч</w:t>
      </w:r>
      <w:r w:rsidR="00EA66D9">
        <w:t xml:space="preserve"> человек.</w:t>
      </w:r>
    </w:p>
    <w:p w:rsidR="00AD66D2" w:rsidRPr="00224EB8" w:rsidRDefault="00AD66D2" w:rsidP="00AD66D2">
      <w:pPr>
        <w:pStyle w:val="2"/>
      </w:pPr>
      <w:bookmarkStart w:id="5" w:name="_Toc66961199"/>
      <w:r>
        <w:t xml:space="preserve">1.2 </w:t>
      </w:r>
      <w:r>
        <w:rPr>
          <w:lang w:val="en-US"/>
        </w:rPr>
        <w:t>LMS</w:t>
      </w:r>
      <w:bookmarkEnd w:id="5"/>
    </w:p>
    <w:p w:rsidR="00A315D2" w:rsidRDefault="00A315D2" w:rsidP="00A315D2">
      <w:r>
        <w:t xml:space="preserve">Система </w:t>
      </w:r>
      <w:r>
        <w:rPr>
          <w:lang w:val="en-US"/>
        </w:rPr>
        <w:t>LMS</w:t>
      </w:r>
      <w:r w:rsidRPr="00224EB8">
        <w:t xml:space="preserve"> </w:t>
      </w:r>
      <w:r>
        <w:t>не интегрирована с остальными программными решениями, используемыми в организации.</w:t>
      </w:r>
    </w:p>
    <w:p w:rsidR="001E342B" w:rsidRDefault="001E342B" w:rsidP="00A315D2">
      <w:r>
        <w:t>Система ЛМС используется только учащимися и преподавателями университета, включая учащихся и преподавателей программ ДПО.</w:t>
      </w:r>
      <w:r w:rsidR="00376DE6">
        <w:t xml:space="preserve"> Ориентировочное число – двадцать четыре тысячи человек.</w:t>
      </w:r>
    </w:p>
    <w:p w:rsidR="009A42FD" w:rsidRPr="00416000" w:rsidRDefault="009A42FD" w:rsidP="00A315D2">
      <w:r>
        <w:lastRenderedPageBreak/>
        <w:t xml:space="preserve">Часть функционала ЛМС недоступна преподавателям из самой системы. Кнопки неактивны. Вероятно, эти системы не интегрированы с остальными организационными компонентами университета. Так, сейчас ссылки на вебинары и </w:t>
      </w:r>
      <w:r>
        <w:rPr>
          <w:lang w:val="en-US"/>
        </w:rPr>
        <w:t>WebEx</w:t>
      </w:r>
      <w:r>
        <w:t xml:space="preserve"> полу</w:t>
      </w:r>
      <w:r w:rsidR="00D544BE">
        <w:t>чаются через диспетчерскую преподавателями вручную.</w:t>
      </w:r>
    </w:p>
    <w:p w:rsidR="00AD66D2" w:rsidRDefault="00AD66D2" w:rsidP="00AD66D2">
      <w:pPr>
        <w:pStyle w:val="2"/>
      </w:pPr>
      <w:bookmarkStart w:id="6" w:name="_Toc66961200"/>
      <w:r>
        <w:t>1.3 Программные решения компании 1C</w:t>
      </w:r>
      <w:bookmarkEnd w:id="6"/>
    </w:p>
    <w:p w:rsidR="00AD66D2" w:rsidRDefault="00AD66D2" w:rsidP="00AD66D2">
      <w:r>
        <w:t>Определить чёткий состав программных решений, используемых в организации, не представляется возможным. Однако имеющаяся в публичных приказах по университету информация позволяет полагать, что они интегрированы в общую систему лишь на уровне сотрудников. Только один сотрудник может делать ту или иную операцию с конкретной АС. Вероятно, данные систем не синхронизируются в рамках Политеха.</w:t>
      </w:r>
    </w:p>
    <w:p w:rsidR="0008729C" w:rsidRDefault="0008729C" w:rsidP="00AD66D2">
      <w:r>
        <w:t>Использование этих систем ограничивается отдельными отделами университета, а результаты их использования передаются в организацию в ином виде.</w:t>
      </w:r>
    </w:p>
    <w:p w:rsidR="007409D7" w:rsidRDefault="007409D7" w:rsidP="007409D7">
      <w:pPr>
        <w:pStyle w:val="2"/>
      </w:pPr>
      <w:bookmarkStart w:id="7" w:name="_Toc66961201"/>
      <w:r>
        <w:t>1.4 Алгоритм составления расписания</w:t>
      </w:r>
      <w:bookmarkEnd w:id="7"/>
    </w:p>
    <w:p w:rsidR="007409D7" w:rsidRDefault="007409D7" w:rsidP="007409D7">
      <w:r>
        <w:t>Алгоритм составления расписания достаточно конкретен и понятен, т.к. может быть использован новоприбывшими сотрудниками или временно исполняющими чужие функции.</w:t>
      </w:r>
    </w:p>
    <w:p w:rsidR="00550D16" w:rsidRDefault="00550D16" w:rsidP="007409D7">
      <w:r>
        <w:t xml:space="preserve">Однако большая часть </w:t>
      </w:r>
      <w:r w:rsidR="00C27D13">
        <w:t>документооборота проходит в бумажном виде, что замедляет скорость принятия решений, а сами решения принимаются людьми, что допускает возникновение ошибок.</w:t>
      </w:r>
    </w:p>
    <w:p w:rsidR="00C27D13" w:rsidRDefault="00C27D13" w:rsidP="007409D7">
      <w:r>
        <w:t>Также текущий алгоритм также допускает возникновение ошибок из-за накладки расписаний разных кафедр: они даже как-то проходят диспетчерскую и показываются студентам как две пары в одно и то же время. Странно, что система ввода расписания (которое потом отображается студентам) не предупреждает вводящих о подобных накладках.</w:t>
      </w:r>
    </w:p>
    <w:p w:rsidR="00C27D13" w:rsidRPr="00C27D13" w:rsidRDefault="00C27D13" w:rsidP="007409D7">
      <w:r>
        <w:t xml:space="preserve">В случае возникновения подобных ситуаций, студенты должны увидеть накладку, уведомить старост, старосты должны уведомить представителей </w:t>
      </w:r>
      <w:r>
        <w:lastRenderedPageBreak/>
        <w:t>факультета, чтобы те спустили это обратно в диспетчерскую или на кафедру. Много лишних шагов из-за отсутствия валидации вводимых данных.</w:t>
      </w:r>
    </w:p>
    <w:p w:rsidR="00832D9B" w:rsidRDefault="002E6164" w:rsidP="00832D9B">
      <w:pPr>
        <w:pStyle w:val="1"/>
      </w:pPr>
      <w:bookmarkStart w:id="8" w:name="_Toc54202344"/>
      <w:bookmarkStart w:id="9" w:name="_Toc55473642"/>
      <w:bookmarkStart w:id="10" w:name="_Toc66961202"/>
      <w:r>
        <w:lastRenderedPageBreak/>
        <w:t>2</w:t>
      </w:r>
      <w:r w:rsidR="0008498D">
        <w:t xml:space="preserve"> </w:t>
      </w:r>
      <w:bookmarkEnd w:id="8"/>
      <w:bookmarkEnd w:id="9"/>
      <w:r w:rsidR="00BE3681">
        <w:t>Потенциальные решения проблем</w:t>
      </w:r>
      <w:bookmarkEnd w:id="10"/>
    </w:p>
    <w:p w:rsidR="00832D9B" w:rsidRDefault="00832D9B" w:rsidP="00832D9B">
      <w:r>
        <w:t xml:space="preserve">Самое очевидное решение большинства обозначенных проблем – </w:t>
      </w:r>
      <w:r w:rsidR="001065CB">
        <w:t>осуществление</w:t>
      </w:r>
      <w:r>
        <w:t xml:space="preserve"> проекта по интеграции и автоматизации систем, применяемых в Московском </w:t>
      </w:r>
      <w:r w:rsidR="005C7C86">
        <w:t>политехническом</w:t>
      </w:r>
      <w:r>
        <w:t xml:space="preserve"> университете.</w:t>
      </w:r>
    </w:p>
    <w:p w:rsidR="00832D9B" w:rsidRPr="00464FA2" w:rsidRDefault="00832D9B" w:rsidP="00832D9B">
      <w:r>
        <w:t xml:space="preserve">Перед проведением подобной работы необходимо всесторонне проанализировать все системы, процессы и способы их применения. Что не представляется возможным в </w:t>
      </w:r>
      <w:r w:rsidR="009D0C93">
        <w:t xml:space="preserve">ходе проведения анализа извне </w:t>
      </w:r>
      <w:r>
        <w:t>без доступа к внутренней работе университета.</w:t>
      </w:r>
    </w:p>
    <w:p w:rsidR="009E4695" w:rsidRDefault="009E4695" w:rsidP="00832D9B">
      <w:pPr>
        <w:ind w:firstLine="0"/>
      </w:pPr>
      <w: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11" w:name="_Toc58498155"/>
      <w:r w:rsidRPr="001C6ECD">
        <w:rPr>
          <w:b/>
          <w:bCs/>
        </w:rPr>
        <w:t>Составили</w:t>
      </w:r>
      <w:bookmarkEnd w:id="1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12" w:name="_Toc58498156"/>
      <w:r w:rsidRPr="001C6ECD">
        <w:rPr>
          <w:b/>
          <w:bCs/>
        </w:rPr>
        <w:t>Согласовано</w:t>
      </w:r>
      <w:bookmarkEnd w:id="1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7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E0" w:rsidRDefault="006C35E0">
      <w:pPr>
        <w:spacing w:line="240" w:lineRule="auto"/>
      </w:pPr>
      <w:r>
        <w:separator/>
      </w:r>
    </w:p>
  </w:endnote>
  <w:endnote w:type="continuationSeparator" w:id="0">
    <w:p w:rsidR="006C35E0" w:rsidRDefault="006C3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72B" w:rsidRDefault="0008498D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241072">
      <w:rPr>
        <w:noProof/>
      </w:rPr>
      <w:t>5</w:t>
    </w:r>
    <w:r>
      <w:fldChar w:fldCharType="end"/>
    </w:r>
  </w:p>
  <w:p w:rsidR="0058772B" w:rsidRDefault="0058772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E0" w:rsidRDefault="006C35E0">
      <w:pPr>
        <w:spacing w:line="240" w:lineRule="auto"/>
      </w:pPr>
      <w:r>
        <w:separator/>
      </w:r>
    </w:p>
  </w:footnote>
  <w:footnote w:type="continuationSeparator" w:id="0">
    <w:p w:rsidR="006C35E0" w:rsidRDefault="006C35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2FF3"/>
    <w:multiLevelType w:val="multilevel"/>
    <w:tmpl w:val="992464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790001"/>
    <w:multiLevelType w:val="multilevel"/>
    <w:tmpl w:val="418C29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61716CC3"/>
    <w:multiLevelType w:val="multilevel"/>
    <w:tmpl w:val="7038719A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1572B"/>
    <w:rsid w:val="0002179A"/>
    <w:rsid w:val="00030967"/>
    <w:rsid w:val="00035620"/>
    <w:rsid w:val="00071A1F"/>
    <w:rsid w:val="0008498D"/>
    <w:rsid w:val="0008729C"/>
    <w:rsid w:val="000A1731"/>
    <w:rsid w:val="000A3480"/>
    <w:rsid w:val="000A6247"/>
    <w:rsid w:val="000C14F5"/>
    <w:rsid w:val="000C2C43"/>
    <w:rsid w:val="000C3D0F"/>
    <w:rsid w:val="000D5015"/>
    <w:rsid w:val="000E3620"/>
    <w:rsid w:val="000E78E7"/>
    <w:rsid w:val="000F1B42"/>
    <w:rsid w:val="000F4197"/>
    <w:rsid w:val="000F6F84"/>
    <w:rsid w:val="00102396"/>
    <w:rsid w:val="0010445B"/>
    <w:rsid w:val="001065CB"/>
    <w:rsid w:val="00116E89"/>
    <w:rsid w:val="001201E2"/>
    <w:rsid w:val="001219F6"/>
    <w:rsid w:val="001321DA"/>
    <w:rsid w:val="0013417D"/>
    <w:rsid w:val="0016335D"/>
    <w:rsid w:val="00167598"/>
    <w:rsid w:val="00192128"/>
    <w:rsid w:val="001B0C66"/>
    <w:rsid w:val="001B262A"/>
    <w:rsid w:val="001B2E46"/>
    <w:rsid w:val="001C6ECD"/>
    <w:rsid w:val="001D1F3C"/>
    <w:rsid w:val="001D2EBC"/>
    <w:rsid w:val="001E0991"/>
    <w:rsid w:val="001E342B"/>
    <w:rsid w:val="001F4F6C"/>
    <w:rsid w:val="00201C72"/>
    <w:rsid w:val="00203F48"/>
    <w:rsid w:val="002054F7"/>
    <w:rsid w:val="00224EB8"/>
    <w:rsid w:val="002352C0"/>
    <w:rsid w:val="00241072"/>
    <w:rsid w:val="002438A8"/>
    <w:rsid w:val="00247B59"/>
    <w:rsid w:val="002576D7"/>
    <w:rsid w:val="00281FED"/>
    <w:rsid w:val="00281FFA"/>
    <w:rsid w:val="00285A0B"/>
    <w:rsid w:val="002C20B1"/>
    <w:rsid w:val="002C409D"/>
    <w:rsid w:val="002C7681"/>
    <w:rsid w:val="002D45FD"/>
    <w:rsid w:val="002D6084"/>
    <w:rsid w:val="002D763A"/>
    <w:rsid w:val="002E1509"/>
    <w:rsid w:val="002E6164"/>
    <w:rsid w:val="002F44AA"/>
    <w:rsid w:val="00302084"/>
    <w:rsid w:val="003101E6"/>
    <w:rsid w:val="0033388A"/>
    <w:rsid w:val="003443E9"/>
    <w:rsid w:val="00347B03"/>
    <w:rsid w:val="00360A91"/>
    <w:rsid w:val="00360CBA"/>
    <w:rsid w:val="0037261B"/>
    <w:rsid w:val="00376DE6"/>
    <w:rsid w:val="00393080"/>
    <w:rsid w:val="003B2364"/>
    <w:rsid w:val="003C2C71"/>
    <w:rsid w:val="003E195C"/>
    <w:rsid w:val="003F1C0E"/>
    <w:rsid w:val="00410123"/>
    <w:rsid w:val="00416000"/>
    <w:rsid w:val="0042235F"/>
    <w:rsid w:val="00424BD7"/>
    <w:rsid w:val="00424DB1"/>
    <w:rsid w:val="00425D23"/>
    <w:rsid w:val="00436390"/>
    <w:rsid w:val="00450CEB"/>
    <w:rsid w:val="00450E37"/>
    <w:rsid w:val="00451F43"/>
    <w:rsid w:val="00452E4F"/>
    <w:rsid w:val="00464FA2"/>
    <w:rsid w:val="004A5132"/>
    <w:rsid w:val="004A7B16"/>
    <w:rsid w:val="004C615C"/>
    <w:rsid w:val="004D3511"/>
    <w:rsid w:val="004E537C"/>
    <w:rsid w:val="004F6BDC"/>
    <w:rsid w:val="005041D5"/>
    <w:rsid w:val="00504DAD"/>
    <w:rsid w:val="00550D16"/>
    <w:rsid w:val="00551763"/>
    <w:rsid w:val="0055226B"/>
    <w:rsid w:val="005816F3"/>
    <w:rsid w:val="00585718"/>
    <w:rsid w:val="0058772B"/>
    <w:rsid w:val="00593515"/>
    <w:rsid w:val="0059533E"/>
    <w:rsid w:val="005A6F96"/>
    <w:rsid w:val="005C7C86"/>
    <w:rsid w:val="005D7435"/>
    <w:rsid w:val="005E2161"/>
    <w:rsid w:val="005F67B4"/>
    <w:rsid w:val="005F73B1"/>
    <w:rsid w:val="00614590"/>
    <w:rsid w:val="00617C10"/>
    <w:rsid w:val="0063075B"/>
    <w:rsid w:val="00635D9D"/>
    <w:rsid w:val="00640D3C"/>
    <w:rsid w:val="006451F1"/>
    <w:rsid w:val="006467B8"/>
    <w:rsid w:val="00657198"/>
    <w:rsid w:val="00664CE9"/>
    <w:rsid w:val="0067136F"/>
    <w:rsid w:val="00674FA6"/>
    <w:rsid w:val="00685346"/>
    <w:rsid w:val="00695507"/>
    <w:rsid w:val="006B3317"/>
    <w:rsid w:val="006C1A17"/>
    <w:rsid w:val="006C35E0"/>
    <w:rsid w:val="006C5BAC"/>
    <w:rsid w:val="006D5610"/>
    <w:rsid w:val="006D7B31"/>
    <w:rsid w:val="00700572"/>
    <w:rsid w:val="0070213D"/>
    <w:rsid w:val="00707946"/>
    <w:rsid w:val="00722C18"/>
    <w:rsid w:val="007317E1"/>
    <w:rsid w:val="00732B4A"/>
    <w:rsid w:val="007409D7"/>
    <w:rsid w:val="0074161B"/>
    <w:rsid w:val="007502F4"/>
    <w:rsid w:val="007554E7"/>
    <w:rsid w:val="007631AD"/>
    <w:rsid w:val="00792C1B"/>
    <w:rsid w:val="00793D1E"/>
    <w:rsid w:val="007A7739"/>
    <w:rsid w:val="007B507B"/>
    <w:rsid w:val="007B6D31"/>
    <w:rsid w:val="007D7178"/>
    <w:rsid w:val="007D7D6C"/>
    <w:rsid w:val="007E01ED"/>
    <w:rsid w:val="007E7CF5"/>
    <w:rsid w:val="007F051A"/>
    <w:rsid w:val="008152B8"/>
    <w:rsid w:val="00832D9B"/>
    <w:rsid w:val="00835CBC"/>
    <w:rsid w:val="0084085C"/>
    <w:rsid w:val="00842F5E"/>
    <w:rsid w:val="00845A06"/>
    <w:rsid w:val="00847495"/>
    <w:rsid w:val="00863276"/>
    <w:rsid w:val="00864E4D"/>
    <w:rsid w:val="008666C8"/>
    <w:rsid w:val="00876E53"/>
    <w:rsid w:val="008A2827"/>
    <w:rsid w:val="008A3264"/>
    <w:rsid w:val="008C0F88"/>
    <w:rsid w:val="008E075D"/>
    <w:rsid w:val="008E4FF2"/>
    <w:rsid w:val="009034EB"/>
    <w:rsid w:val="00911BC2"/>
    <w:rsid w:val="00937D51"/>
    <w:rsid w:val="00946204"/>
    <w:rsid w:val="00950373"/>
    <w:rsid w:val="00950BF9"/>
    <w:rsid w:val="009572F6"/>
    <w:rsid w:val="00957A4E"/>
    <w:rsid w:val="009822F0"/>
    <w:rsid w:val="009A2021"/>
    <w:rsid w:val="009A42FD"/>
    <w:rsid w:val="009C7B4D"/>
    <w:rsid w:val="009D04CB"/>
    <w:rsid w:val="009D0C93"/>
    <w:rsid w:val="009D60BC"/>
    <w:rsid w:val="009E4695"/>
    <w:rsid w:val="009F267E"/>
    <w:rsid w:val="00A310B5"/>
    <w:rsid w:val="00A315D2"/>
    <w:rsid w:val="00A343F8"/>
    <w:rsid w:val="00A62ED9"/>
    <w:rsid w:val="00A76782"/>
    <w:rsid w:val="00A859FA"/>
    <w:rsid w:val="00A930A5"/>
    <w:rsid w:val="00AB499C"/>
    <w:rsid w:val="00AC3D23"/>
    <w:rsid w:val="00AD3716"/>
    <w:rsid w:val="00AD66D2"/>
    <w:rsid w:val="00AD7014"/>
    <w:rsid w:val="00AE0D54"/>
    <w:rsid w:val="00AE0E54"/>
    <w:rsid w:val="00B24412"/>
    <w:rsid w:val="00B32B91"/>
    <w:rsid w:val="00B338F2"/>
    <w:rsid w:val="00B368EB"/>
    <w:rsid w:val="00B56B82"/>
    <w:rsid w:val="00B95BBF"/>
    <w:rsid w:val="00BB0D1F"/>
    <w:rsid w:val="00BC18C0"/>
    <w:rsid w:val="00BC4F79"/>
    <w:rsid w:val="00BC50FE"/>
    <w:rsid w:val="00BD602A"/>
    <w:rsid w:val="00BE3681"/>
    <w:rsid w:val="00BE5235"/>
    <w:rsid w:val="00C0341F"/>
    <w:rsid w:val="00C23130"/>
    <w:rsid w:val="00C27619"/>
    <w:rsid w:val="00C27D13"/>
    <w:rsid w:val="00C43C21"/>
    <w:rsid w:val="00C61451"/>
    <w:rsid w:val="00C805B5"/>
    <w:rsid w:val="00C90C80"/>
    <w:rsid w:val="00C97C35"/>
    <w:rsid w:val="00CB6E4D"/>
    <w:rsid w:val="00CC2D97"/>
    <w:rsid w:val="00CD0D5B"/>
    <w:rsid w:val="00CD692B"/>
    <w:rsid w:val="00CE1A63"/>
    <w:rsid w:val="00CE2254"/>
    <w:rsid w:val="00CE7DBC"/>
    <w:rsid w:val="00CF262E"/>
    <w:rsid w:val="00CF5659"/>
    <w:rsid w:val="00D27D59"/>
    <w:rsid w:val="00D409FF"/>
    <w:rsid w:val="00D42A76"/>
    <w:rsid w:val="00D544BE"/>
    <w:rsid w:val="00D568F6"/>
    <w:rsid w:val="00D85DE4"/>
    <w:rsid w:val="00D91CFF"/>
    <w:rsid w:val="00DA2BB5"/>
    <w:rsid w:val="00DA3640"/>
    <w:rsid w:val="00DA7EBD"/>
    <w:rsid w:val="00DB430F"/>
    <w:rsid w:val="00DB74DE"/>
    <w:rsid w:val="00DC39CE"/>
    <w:rsid w:val="00DD30C0"/>
    <w:rsid w:val="00DD4D88"/>
    <w:rsid w:val="00DF6353"/>
    <w:rsid w:val="00E01D4D"/>
    <w:rsid w:val="00E046C4"/>
    <w:rsid w:val="00E1773E"/>
    <w:rsid w:val="00E20784"/>
    <w:rsid w:val="00E24504"/>
    <w:rsid w:val="00E2619B"/>
    <w:rsid w:val="00E30A38"/>
    <w:rsid w:val="00E3254B"/>
    <w:rsid w:val="00E41118"/>
    <w:rsid w:val="00E502D5"/>
    <w:rsid w:val="00E83BBB"/>
    <w:rsid w:val="00E95B69"/>
    <w:rsid w:val="00E96C46"/>
    <w:rsid w:val="00EA1763"/>
    <w:rsid w:val="00EA5B1E"/>
    <w:rsid w:val="00EA66D9"/>
    <w:rsid w:val="00EC5E3F"/>
    <w:rsid w:val="00EE779A"/>
    <w:rsid w:val="00EF088F"/>
    <w:rsid w:val="00EF4DFD"/>
    <w:rsid w:val="00F148E6"/>
    <w:rsid w:val="00F249DA"/>
    <w:rsid w:val="00F64299"/>
    <w:rsid w:val="00F667ED"/>
    <w:rsid w:val="00F77B02"/>
    <w:rsid w:val="00F80E5A"/>
    <w:rsid w:val="00F8297F"/>
    <w:rsid w:val="00F82997"/>
    <w:rsid w:val="00F83E31"/>
    <w:rsid w:val="00F90547"/>
    <w:rsid w:val="00F92EAB"/>
    <w:rsid w:val="00F97075"/>
    <w:rsid w:val="00FB754D"/>
    <w:rsid w:val="00FD2D98"/>
    <w:rsid w:val="00FD43C6"/>
    <w:rsid w:val="00FE5312"/>
    <w:rsid w:val="00FE740B"/>
    <w:rsid w:val="00FF42D1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  <w:qFormat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436390"/>
    <w:pPr>
      <w:keepLines/>
      <w:numPr>
        <w:numId w:val="2"/>
      </w:numPr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pPr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61</cp:revision>
  <dcterms:created xsi:type="dcterms:W3CDTF">2021-03-09T18:51:00Z</dcterms:created>
  <dcterms:modified xsi:type="dcterms:W3CDTF">2021-03-18T09:08:00Z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