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g.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Gutiérrez-Leal, D. E., León-Sandoval, E., Quintana Contreras, E., &amp; Barbosa-Santillán, L. I. (2026). Production architecture of an AI-powered survey evaluation system: Insights from education. </w:t>
      </w:r>
      <w:r>
        <w:rPr>
          <w:rFonts w:ascii="Times New Roman" w:hAnsi="Times New Roman" w:cs="Times New Roman"/>
          <w:i/>
          <w:sz w:val="24"/>
          <w:szCs w:val="24"/>
        </w:rPr>
        <w:t xml:space="preserve">Applied System Innovation, 9</w:t>
      </w:r>
      <w:r>
        <w:rPr>
          <w:rFonts w:ascii="Times New Roman" w:hAnsi="Times New Roman" w:cs="Times New Roman"/>
          <w:sz w:val="24"/>
          <w:szCs w:val="24"/>
        </w:rPr>
        <w:t xml:space="preserve">(6), 118. https://doi.org/10.3390/asi9060118</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Kadir, A. (2020). </w:t>
      </w:r>
      <w:r>
        <w:rPr>
          <w:rFonts w:ascii="Times New Roman" w:hAnsi="Times New Roman" w:cs="Times New Roman"/>
          <w:i/>
          <w:sz w:val="24"/>
          <w:szCs w:val="24"/>
        </w:rPr>
        <w:t xml:space="preserve">Dasar perancangan dan implementasi database relasional</w:t>
      </w:r>
      <w:r>
        <w:rPr>
          <w:rFonts w:ascii="Times New Roman" w:hAnsi="Times New Roman" w:cs="Times New Roman"/>
          <w:sz w:val="24"/>
          <w:szCs w:val="24"/>
        </w:rPr>
        <w:t xml:space="preserve"> (Edisi revisi). Penerbit Andi.</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Kirkby, A., Baumgarth, C., &amp; Henseler, J. (2025). Welcome, new brand colleague! A conceptual framework for efficient and effective human-AI co-creation for creative brand voice. </w:t>
      </w:r>
      <w:r>
        <w:rPr>
          <w:rFonts w:ascii="Times New Roman" w:hAnsi="Times New Roman" w:cs="Times New Roman"/>
          <w:i/>
          <w:sz w:val="24"/>
          <w:szCs w:val="24"/>
        </w:rPr>
        <w:t xml:space="preserve">Journal of Brand Management, 32</w:t>
      </w:r>
      <w:r>
        <w:rPr>
          <w:rFonts w:ascii="Times New Roman" w:hAnsi="Times New Roman" w:cs="Times New Roman"/>
          <w:sz w:val="24"/>
          <w:szCs w:val="24"/>
        </w:rPr>
        <w:t xml:space="preserve">(5), 385-399. https://doi.org/10.1057/s41262-025-00387-y</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