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b/>
          <w:sz w:val="24"/>
          <w:szCs w:val="24"/>
        </w:rPr>
        <w:t xml:space="preserve">[BUTUH KEPUTUSAN PENULIS: tentukan jumlah naskah yang diuji, jumlah penilai, dan asal penilai. Angka ini menentukan uji statistik yang dapat dipakai pada sub-bab 3.2.6. Jumlah penilai minimal tiga orang; penilai dari luar tim jauh lebih kuat menahan keberatan mengenai keberpihakan.]</w:t>
      </w:r>
    </w:p>
    <w:p>
      <w:pPr>
        <w:jc w:val="both"/>
        <w:spacing w:before="0" w:after="0" w:line="360" w:lineRule="auto"/>
        <w:ind w:firstLine="567"/>
      </w:pPr>
      <w:r>
        <w:rPr>
          <w:rFonts w:ascii="Times New Roman" w:hAnsi="Times New Roman" w:cs="Times New Roman"/>
          <w:b/>
          <w:sz w:val="24"/>
          <w:szCs w:val="24"/>
        </w:rPr>
        <w:t xml:space="preserve">[BUTUH KEPUTUSAN PENULIS: nyatakan bentuk data sebelum-sesudah yang dimiliki, apakah berupa catatan tertulis, catatan sistem, atau perkiraan. Bila berupa perkiraan, hal tersebut wajib dinyatakan sebagai keterbatasan penelitian dan uji statistik parametrik tidak dapat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rubrik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rubrik diturunkan dari bidang yang tersimpan pada profil merek di dalam sistem, sehingga penilaian dapat ditelusuri kembali ke acuan yang benar-benar dipakai sistem. Setiap dimensi dinilai pada rentang 1 sampai 4 sehingga skor maksimal seluruh dimensi adalah 20.</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Indikator yang dinilai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Rentang skor</w:t>
            </w:r>
          </w:p>
        </w:tc>
      </w:tr>
      <w:tr>
        <w:tc>
          <w:tcPr>
            <w:tcW w:w="2381" w:type="dxa"/>
          </w:tcPr>
          <w:p>
            <w:pPr>
              <w:jc w:val="left"/>
              <w:spacing w:before="0" w:after="0" w:line="240" w:lineRule="auto"/>
            </w:pPr>
            <w:r>
              <w:rPr>
                <w:rFonts w:ascii="Times New Roman" w:hAnsi="Times New Roman" w:cs="Times New Roman"/>
                <w:sz w:val="24"/>
                <w:szCs w:val="24"/>
              </w:rPr>
              <w:t xml:space="preserve">Gaya bahasa</w:t>
            </w:r>
          </w:p>
        </w:tc>
        <w:tc>
          <w:tcPr>
            <w:tcW w:w="2778" w:type="dxa"/>
          </w:tcPr>
          <w:p>
            <w:pPr>
              <w:jc w:val="left"/>
              <w:spacing w:before="0" w:after="0" w:line="240" w:lineRule="auto"/>
            </w:pPr>
            <w:r>
              <w:rPr>
                <w:rFonts w:ascii="Times New Roman" w:hAnsi="Times New Roman" w:cs="Times New Roman"/>
                <w:sz w:val="24"/>
                <w:szCs w:val="24"/>
              </w:rPr>
              <w:t xml:space="preserve">Kesesuaian nada, sapaan, dan tingkat formalitas dengan gaya bahasa yang ditetapkan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Sasaran audiens</w:t>
            </w:r>
          </w:p>
        </w:tc>
        <w:tc>
          <w:tcPr>
            <w:tcW w:w="2778" w:type="dxa"/>
          </w:tcPr>
          <w:p>
            <w:pPr>
              <w:jc w:val="left"/>
              <w:spacing w:before="0" w:after="0" w:line="240" w:lineRule="auto"/>
            </w:pPr>
            <w:r>
              <w:rPr>
                <w:rFonts w:ascii="Times New Roman" w:hAnsi="Times New Roman" w:cs="Times New Roman"/>
                <w:sz w:val="24"/>
                <w:szCs w:val="24"/>
              </w:rPr>
              <w:t xml:space="preserve">Kesesuaian pilihan diksi dan rujukan budaya dengan audiens yang ditetapkan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Keunggulan produk</w:t>
            </w:r>
          </w:p>
        </w:tc>
        <w:tc>
          <w:tcPr>
            <w:tcW w:w="2778" w:type="dxa"/>
          </w:tcPr>
          <w:p>
            <w:pPr>
              <w:jc w:val="left"/>
              <w:spacing w:before="0" w:after="0" w:line="240" w:lineRule="auto"/>
            </w:pPr>
            <w:r>
              <w:rPr>
                <w:rFonts w:ascii="Times New Roman" w:hAnsi="Times New Roman" w:cs="Times New Roman"/>
                <w:sz w:val="24"/>
                <w:szCs w:val="24"/>
              </w:rPr>
              <w:t xml:space="preserve">Ketepatan penonjolan keunggulan produk sesuai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Kepatuhan batasan</w:t>
            </w:r>
          </w:p>
        </w:tc>
        <w:tc>
          <w:tcPr>
            <w:tcW w:w="2778" w:type="dxa"/>
          </w:tcPr>
          <w:p>
            <w:pPr>
              <w:jc w:val="left"/>
              <w:spacing w:before="0" w:after="0" w:line="240" w:lineRule="auto"/>
            </w:pPr>
            <w:r>
              <w:rPr>
                <w:rFonts w:ascii="Times New Roman" w:hAnsi="Times New Roman" w:cs="Times New Roman"/>
                <w:sz w:val="24"/>
                <w:szCs w:val="24"/>
              </w:rPr>
              <w:t xml:space="preserve">Ketaatan pada batasan penulisan yang ditetapkan, misalnya larangan klaim berlebihan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Ajakan bertindak</w:t>
            </w:r>
          </w:p>
        </w:tc>
        <w:tc>
          <w:tcPr>
            <w:tcW w:w="2778" w:type="dxa"/>
          </w:tcPr>
          <w:p>
            <w:pPr>
              <w:jc w:val="left"/>
              <w:spacing w:before="0" w:after="0" w:line="240" w:lineRule="auto"/>
            </w:pPr>
            <w:r>
              <w:rPr>
                <w:rFonts w:ascii="Times New Roman" w:hAnsi="Times New Roman" w:cs="Times New Roman"/>
                <w:sz w:val="24"/>
                <w:szCs w:val="24"/>
              </w:rPr>
              <w:t xml:space="preserve">Ketepatan bentuk dan penempatan ajakan bertindak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[CATATAN UNTUK PENULIS: dimensi rubrik di atas diturunkan dari struktur profil merek pada sistem, bukan dari pustaka. Setelah sub-bab 2.2.4 memperoleh rujukan akademik mengenai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rubrik ini wajib ditinjau ulang agar dimensinya berpijak pada teori, dan validitas isinya sebaiknya ditelaah oleh dosen pembimbing.]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rata-rata dan simpangan baku, kemudian dibandingkan antara proses lama dan proses baru menggunakan uji beda yang sesuai dengan sebaran data dan jumlah sampel.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ke-1</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ke-2</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ke-3</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ke-4</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ke-5</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Pengujian waktu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[BUTUH KEPUTUSAN PENULIS: jadwal di atas masih berupa usulan berdurasi lima bulan. Sesuaikan bulan awal dan bulan akhir dengan tanggal mulai penelitian serta target seminar proposal yang sebenarnya, lalu ganti judul kolom menjadi nama bulan.]</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