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setiap kanal menuntut penyesuaian format tersendiri.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materi yang dihasilkan, sebagaimana terlihat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sebelum sistem diterapkan, sebutkan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sepenuhnya pada kemampuan masing-masing admin, sehingga pergantian personel langsung menurunkan mutu keluaran. Ketiadaan jejak pencatatan juga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terbitan maksimal sepuluh tahun terakhir, untuk memperkuat paragraf pembuka]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b/>
          <w:sz w:val="24"/>
          <w:szCs w:val="24"/>
        </w:rPr>
        <w:t xml:space="preserve">[BUTUH KEPUTUSAN PENULIS: nyatakan bentuk data sebelum-sesudah yang dimiliki, apakah berupa catatan tertulis, catatan sistem, atau perkiraan. Bila berupa perkiraan, hal tersebut wajib dinyatakan sebagai keterbatasan penelitian dan uji statistik parametrik tidak dapat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rata-rata dan simpangan baku, kemudian dibandingkan antara proses lama dan proses baru menggunakan uji beda yang sesuai dengan sebaran data dan jumlah sampel.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