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w:t>
      </w:r>
      <w:r>
        <w:rPr>
          <w:rFonts w:ascii="Times New Roman" w:hAnsi="Times New Roman" w:cs="Times New Roman"/>
          <w:b/>
          <w:sz w:val="24"/>
          <w:szCs w:val="24"/>
        </w:rPr>
        <w:t xml:space="preserve">[SITASI DIBUTUHKAN: pertumbuhan perdagangan elektronik atau ritel daring di Indonesia, jurnal maksimal lima tahun terakhir]</w:t>
      </w:r>
      <w:r>
        <w:rPr>
          <w:rFonts w:ascii="Times New Roman" w:hAnsi="Times New Roman" w:cs="Times New Roman"/>
          <w:sz w:val="24"/>
          <w:szCs w:val="24"/>
        </w:rPr>
        <w:t xml:space="preserve">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setiap kanal menuntut penyesuaian format tersendiri. </w:t>
      </w:r>
      <w:r>
        <w:rPr>
          <w:rFonts w:ascii="Times New Roman" w:hAnsi="Times New Roman" w:cs="Times New Roman"/>
          <w:b/>
          <w:sz w:val="24"/>
          <w:szCs w:val="24"/>
        </w:rPr>
        <w:t xml:space="preserve">[SITASI DIBUTUHKAN: karakteristik pemasaran konten pada ritel mode atau sepatu olahraga]</w:t>
      </w:r>
      <w:r>
        <w:rPr>
          <w:rFonts w:ascii="Times New Roman" w:hAnsi="Times New Roman" w:cs="Times New Roman"/>
          <w:sz w:val="24"/>
          <w:szCs w:val="24"/>
        </w:rPr>
        <w:t xml:space="preserve">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pengembangan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materi yang dihasilkan, sebagaimana terlihat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untuk satu peluncuran memerlukan waktu </w:t>
      </w:r>
      <w:r>
        <w:rPr>
          <w:rFonts w:ascii="Times New Roman" w:hAnsi="Times New Roman" w:cs="Times New Roman"/>
          <w:b/>
          <w:sz w:val="24"/>
          <w:szCs w:val="24"/>
        </w:rPr>
        <w:t xml:space="preserve">[ANGKA DARI DATA PENELITI: durasi rata-rata sebelum sistem diterapkan, sebutkan satuan dan jumlah sampel]</w:t>
      </w:r>
      <w:r>
        <w:rPr>
          <w:rFonts w:ascii="Times New Roman" w:hAnsi="Times New Roman" w:cs="Times New Roman"/>
          <w:sz w:val="24"/>
          <w:szCs w:val="24"/>
        </w:rPr>
        <w:t xml:space="preserve">.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sepenuhnya pada kemampuan masing-masing admin, sehingga pergantian personel langsung menurunkan mutu keluaran. Ketiadaan jejak pencatatan juga menyulitkan pertanggungjawaban ketika materi yang telah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atau pemasaran. Kata kunci juga diperluas dengan metode Rapid Application Development karena metode tersebut dipakai pada penelitian ini. Dari penelusuran tersebut diperoleh delapan penelitian yang relevan sebagaimana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Tran dkk. (2025)</w:t>
            </w:r>
          </w:p>
        </w:tc>
        <w:tc>
          <w:tcPr>
            <w:tcW w:w="2268" w:type="dxa"/>
          </w:tcPr>
          <w:p>
            <w:pPr>
              <w:jc w:val="left"/>
              <w:spacing w:before="0" w:after="0" w:line="240" w:lineRule="auto"/>
            </w:pPr>
            <w:r>
              <w:rPr>
                <w:rFonts w:ascii="Times New Roman" w:hAnsi="Times New Roman" w:cs="Times New Roman"/>
                <w:sz w:val="24"/>
                <w:szCs w:val="24"/>
              </w:rPr>
              <w:t xml:space="preserve">Multi-Agent Collaboration Mechanisms: A Survey of LLMs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dimensi kolaborasi antar-agen: aktor, jenis interaksi, struktur, strategi, dan protokol koordinasi</w:t>
            </w:r>
          </w:p>
        </w:tc>
        <w:tc>
          <w:tcPr>
            <w:tcW w:w="1134" w:type="dxa"/>
          </w:tcPr>
          <w:p>
            <w:pPr>
              <w:jc w:val="left"/>
              <w:spacing w:before="0" w:after="0" w:line="240" w:lineRule="auto"/>
            </w:pPr>
            <w:r>
              <w:rPr>
                <w:rFonts w:ascii="Times New Roman" w:hAnsi="Times New Roman" w:cs="Times New Roman"/>
                <w:sz w:val="24"/>
                <w:szCs w:val="24"/>
              </w:rPr>
              <w:t xml:space="preserve">Bersifat konseptual dan tidak membangun sistem pada kasus bisnis nyata</w:t>
            </w:r>
          </w:p>
        </w:tc>
      </w:tr>
      <w:tr>
        <w:tc>
          <w:tcPr>
            <w:tcW w:w="1417" w:type="dxa"/>
          </w:tcPr>
          <w:p>
            <w:pPr>
              <w:jc w:val="left"/>
              <w:spacing w:before="0" w:after="0" w:line="240" w:lineRule="auto"/>
            </w:pPr>
            <w:r>
              <w:rPr>
                <w:rFonts w:ascii="Times New Roman" w:hAnsi="Times New Roman" w:cs="Times New Roman"/>
                <w:sz w:val="24"/>
                <w:szCs w:val="24"/>
              </w:rPr>
              <w:t xml:space="preserve">Lin dkk. (2025)</w:t>
            </w:r>
          </w:p>
        </w:tc>
        <w:tc>
          <w:tcPr>
            <w:tcW w:w="2268" w:type="dxa"/>
          </w:tcPr>
          <w:p>
            <w:pPr>
              <w:jc w:val="left"/>
              <w:spacing w:before="0" w:after="0" w:line="240" w:lineRule="auto"/>
            </w:pPr>
            <w:r>
              <w:rPr>
                <w:rFonts w:ascii="Times New Roman" w:hAnsi="Times New Roman" w:cs="Times New Roman"/>
                <w:sz w:val="24"/>
                <w:szCs w:val="24"/>
              </w:rPr>
              <w:t xml:space="preserve">Creativity in LLM-based Multi-Agent Systems: A Survey</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taksonomi proaktivitas agen dan desain persona serta teknik penghasilan luaran kreatif</w:t>
            </w:r>
          </w:p>
        </w:tc>
        <w:tc>
          <w:tcPr>
            <w:tcW w:w="1134" w:type="dxa"/>
          </w:tcPr>
          <w:p>
            <w:pPr>
              <w:jc w:val="left"/>
              <w:spacing w:before="0" w:after="0" w:line="240" w:lineRule="auto"/>
            </w:pPr>
            <w:r>
              <w:rPr>
                <w:rFonts w:ascii="Times New Roman" w:hAnsi="Times New Roman" w:cs="Times New Roman"/>
                <w:sz w:val="24"/>
                <w:szCs w:val="24"/>
              </w:rPr>
              <w:t xml:space="preserve">Fokus pada kreativitas luaran, tidak mengukur konsistensi identitas merek</w:t>
            </w:r>
          </w:p>
        </w:tc>
      </w:tr>
      <w:tr>
        <w:tc>
          <w:tcPr>
            <w:tcW w:w="1417" w:type="dxa"/>
          </w:tcPr>
          <w:p>
            <w:pPr>
              <w:jc w:val="left"/>
              <w:spacing w:before="0" w:after="0" w:line="240" w:lineRule="auto"/>
            </w:pPr>
            <w:r>
              <w:rPr>
                <w:rFonts w:ascii="Times New Roman" w:hAnsi="Times New Roman" w:cs="Times New Roman"/>
                <w:sz w:val="24"/>
                <w:szCs w:val="24"/>
              </w:rPr>
              <w:t xml:space="preserve">Chu dkk. (2025)</w:t>
            </w:r>
          </w:p>
        </w:tc>
        <w:tc>
          <w:tcPr>
            <w:tcW w:w="2268" w:type="dxa"/>
          </w:tcPr>
          <w:p>
            <w:pPr>
              <w:jc w:val="left"/>
              <w:spacing w:before="0" w:after="0" w:line="240" w:lineRule="auto"/>
            </w:pPr>
            <w:r>
              <w:rPr>
                <w:rFonts w:ascii="Times New Roman" w:hAnsi="Times New Roman" w:cs="Times New Roman"/>
                <w:sz w:val="24"/>
                <w:szCs w:val="24"/>
              </w:rPr>
              <w:t xml:space="preserve">LLM-Based Multi-Agent System for Simulating and Analyzing Marketing and Consumer Behavior</w:t>
            </w:r>
          </w:p>
        </w:tc>
        <w:tc>
          <w:tcPr>
            <w:tcW w:w="1417" w:type="dxa"/>
          </w:tcPr>
          <w:p>
            <w:pPr>
              <w:jc w:val="left"/>
              <w:spacing w:before="0" w:after="0" w:line="240" w:lineRule="auto"/>
            </w:pPr>
            <w:r>
              <w:rPr>
                <w:rFonts w:ascii="Times New Roman" w:hAnsi="Times New Roman" w:cs="Times New Roman"/>
                <w:sz w:val="24"/>
                <w:szCs w:val="24"/>
              </w:rPr>
              <w:t xml:space="preserve">Simulasi berbasis agen</w:t>
            </w:r>
          </w:p>
        </w:tc>
        <w:tc>
          <w:tcPr>
            <w:tcW w:w="1701" w:type="dxa"/>
          </w:tcPr>
          <w:p>
            <w:pPr>
              <w:jc w:val="left"/>
              <w:spacing w:before="0" w:after="0" w:line="240" w:lineRule="auto"/>
            </w:pPr>
            <w:r>
              <w:rPr>
                <w:rFonts w:ascii="Times New Roman" w:hAnsi="Times New Roman" w:cs="Times New Roman"/>
                <w:sz w:val="24"/>
                <w:szCs w:val="24"/>
              </w:rPr>
              <w:t xml:space="preserve">Agen generatif mampu berinteraksi dan mengambil keputusan pembelian untuk menguji strategi pemasaran</w:t>
            </w:r>
          </w:p>
        </w:tc>
        <w:tc>
          <w:tcPr>
            <w:tcW w:w="1134" w:type="dxa"/>
          </w:tcPr>
          <w:p>
            <w:pPr>
              <w:jc w:val="left"/>
              <w:spacing w:before="0" w:after="0" w:line="240" w:lineRule="auto"/>
            </w:pPr>
            <w:r>
              <w:rPr>
                <w:rFonts w:ascii="Times New Roman" w:hAnsi="Times New Roman" w:cs="Times New Roman"/>
                <w:sz w:val="24"/>
                <w:szCs w:val="24"/>
              </w:rPr>
              <w:t xml:space="preserve">Mensimulasikan perilaku konsumen, bukan memproduksi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Aghaei dkk. (2025)</w:t>
            </w:r>
          </w:p>
        </w:tc>
        <w:tc>
          <w:tcPr>
            <w:tcW w:w="2268" w:type="dxa"/>
          </w:tcPr>
          <w:p>
            <w:pPr>
              <w:jc w:val="left"/>
              <w:spacing w:before="0" w:after="0" w:line="240" w:lineRule="auto"/>
            </w:pPr>
            <w:r>
              <w:rPr>
                <w:rFonts w:ascii="Times New Roman" w:hAnsi="Times New Roman" w:cs="Times New Roman"/>
                <w:sz w:val="24"/>
                <w:szCs w:val="24"/>
              </w:rPr>
              <w:t xml:space="preserve">Harnessing the Potential of Large Language Models in Modern Marketing Management</w:t>
            </w:r>
          </w:p>
        </w:tc>
        <w:tc>
          <w:tcPr>
            <w:tcW w:w="1417" w:type="dxa"/>
          </w:tcPr>
          <w:p>
            <w:pPr>
              <w:jc w:val="left"/>
              <w:spacing w:before="0" w:after="0" w:line="240" w:lineRule="auto"/>
            </w:pPr>
            <w:r>
              <w:rPr>
                <w:rFonts w:ascii="Times New Roman" w:hAnsi="Times New Roman" w:cs="Times New Roman"/>
                <w:sz w:val="24"/>
                <w:szCs w:val="24"/>
              </w:rPr>
              <w:t xml:space="preserve">Kajian konseptual</w:t>
            </w:r>
          </w:p>
        </w:tc>
        <w:tc>
          <w:tcPr>
            <w:tcW w:w="1701" w:type="dxa"/>
          </w:tcPr>
          <w:p>
            <w:pPr>
              <w:jc w:val="left"/>
              <w:spacing w:before="0" w:after="0" w:line="240" w:lineRule="auto"/>
            </w:pPr>
            <w:r>
              <w:rPr>
                <w:rFonts w:ascii="Times New Roman" w:hAnsi="Times New Roman" w:cs="Times New Roman"/>
                <w:sz w:val="24"/>
                <w:szCs w:val="24"/>
              </w:rPr>
              <w:t xml:space="preserve">Memetakan penerapan model bahasa besar pada keterlibatan pelanggan, optimasi kampanye, dan penghasilan konten</w:t>
            </w:r>
          </w:p>
        </w:tc>
        <w:tc>
          <w:tcPr>
            <w:tcW w:w="1134" w:type="dxa"/>
          </w:tcPr>
          <w:p>
            <w:pPr>
              <w:jc w:val="left"/>
              <w:spacing w:before="0" w:after="0" w:line="240" w:lineRule="auto"/>
            </w:pPr>
            <w:r>
              <w:rPr>
                <w:rFonts w:ascii="Times New Roman" w:hAnsi="Times New Roman" w:cs="Times New Roman"/>
                <w:sz w:val="24"/>
                <w:szCs w:val="24"/>
              </w:rPr>
              <w:t xml:space="preserve">Tidak membangun maupun menguji sistem, dan tidak mengukur efisiensi</w:t>
            </w:r>
          </w:p>
        </w:tc>
      </w:tr>
      <w:tr>
        <w:tc>
          <w:tcPr>
            <w:tcW w:w="1417" w:type="dxa"/>
          </w:tcPr>
          <w:p>
            <w:pPr>
              <w:jc w:val="left"/>
              <w:spacing w:before="0" w:after="0" w:line="240" w:lineRule="auto"/>
            </w:pPr>
            <w:r>
              <w:rPr>
                <w:rFonts w:ascii="Times New Roman" w:hAnsi="Times New Roman" w:cs="Times New Roman"/>
                <w:sz w:val="24"/>
                <w:szCs w:val="24"/>
              </w:rPr>
              <w:t xml:space="preserve">Rahman dkk. (2025)</w:t>
            </w:r>
          </w:p>
        </w:tc>
        <w:tc>
          <w:tcPr>
            <w:tcW w:w="2268" w:type="dxa"/>
          </w:tcPr>
          <w:p>
            <w:pPr>
              <w:jc w:val="left"/>
              <w:spacing w:before="0" w:after="0" w:line="240" w:lineRule="auto"/>
            </w:pPr>
            <w:r>
              <w:rPr>
                <w:rFonts w:ascii="Times New Roman" w:hAnsi="Times New Roman" w:cs="Times New Roman"/>
                <w:sz w:val="24"/>
                <w:szCs w:val="24"/>
              </w:rPr>
              <w:t xml:space="preserve">Penggunaan Large Language Models dalam Penulisan Artikel Berita</w:t>
            </w:r>
          </w:p>
        </w:tc>
        <w:tc>
          <w:tcPr>
            <w:tcW w:w="1417" w:type="dxa"/>
          </w:tcPr>
          <w:p>
            <w:pPr>
              <w:jc w:val="left"/>
              <w:spacing w:before="0" w:after="0" w:line="240" w:lineRule="auto"/>
            </w:pPr>
            <w:r>
              <w:rPr>
                <w:rFonts w:ascii="Times New Roman" w:hAnsi="Times New Roman" w:cs="Times New Roman"/>
                <w:sz w:val="24"/>
                <w:szCs w:val="24"/>
              </w:rPr>
              <w:t xml:space="preserve">Systematic Literature Review dengan protokol PRISMA</w:t>
            </w:r>
          </w:p>
        </w:tc>
        <w:tc>
          <w:tcPr>
            <w:tcW w:w="1701" w:type="dxa"/>
          </w:tcPr>
          <w:p>
            <w:pPr>
              <w:jc w:val="left"/>
              <w:spacing w:before="0" w:after="0" w:line="240" w:lineRule="auto"/>
            </w:pPr>
            <w:r>
              <w:rPr>
                <w:rFonts w:ascii="Times New Roman" w:hAnsi="Times New Roman" w:cs="Times New Roman"/>
                <w:sz w:val="24"/>
                <w:szCs w:val="24"/>
              </w:rPr>
              <w:t xml:space="preserve">Menemukan risiko halusinasi dan bias algoritmik, serta perlunya keseimbangan peran manusia dan mesin</w:t>
            </w:r>
          </w:p>
        </w:tc>
        <w:tc>
          <w:tcPr>
            <w:tcW w:w="1134" w:type="dxa"/>
          </w:tcPr>
          <w:p>
            <w:pPr>
              <w:jc w:val="left"/>
              <w:spacing w:before="0" w:after="0" w:line="240" w:lineRule="auto"/>
            </w:pPr>
            <w:r>
              <w:rPr>
                <w:rFonts w:ascii="Times New Roman" w:hAnsi="Times New Roman" w:cs="Times New Roman"/>
                <w:sz w:val="24"/>
                <w:szCs w:val="24"/>
              </w:rPr>
              <w:t xml:space="preserve">Konteks jurnalisme, bukan konten pemasaran, dan tidak menghasilkan artefak sistem</w:t>
            </w:r>
          </w:p>
        </w:tc>
      </w:tr>
      <w:tr>
        <w:tc>
          <w:tcPr>
            <w:tcW w:w="1417" w:type="dxa"/>
          </w:tcPr>
          <w:p>
            <w:pPr>
              <w:jc w:val="left"/>
              <w:spacing w:before="0" w:after="0" w:line="240" w:lineRule="auto"/>
            </w:pPr>
            <w:r>
              <w:rPr>
                <w:rFonts w:ascii="Times New Roman" w:hAnsi="Times New Roman" w:cs="Times New Roman"/>
                <w:sz w:val="24"/>
                <w:szCs w:val="24"/>
              </w:rPr>
              <w:t xml:space="preserve">Yusna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Manajemen Proyek Berbasis Web pada Apada Studio Menggunakan Metode Waterfall</w:t>
            </w:r>
          </w:p>
        </w:tc>
        <w:tc>
          <w:tcPr>
            <w:tcW w:w="1417" w:type="dxa"/>
          </w:tcPr>
          <w:p>
            <w:pPr>
              <w:jc w:val="left"/>
              <w:spacing w:before="0" w:after="0" w:line="240" w:lineRule="auto"/>
            </w:pPr>
            <w:r>
              <w:rPr>
                <w:rFonts w:ascii="Times New Roman" w:hAnsi="Times New Roman" w:cs="Times New Roman"/>
                <w:sz w:val="24"/>
                <w:szCs w:val="24"/>
              </w:rPr>
              <w:t xml:space="preserve">Waterfall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fungsi sistem dinyatakan valid melalui pengujian black box</w:t>
            </w:r>
          </w:p>
        </w:tc>
        <w:tc>
          <w:tcPr>
            <w:tcW w:w="1134" w:type="dxa"/>
          </w:tcPr>
          <w:p>
            <w:pPr>
              <w:jc w:val="left"/>
              <w:spacing w:before="0" w:after="0" w:line="240" w:lineRule="auto"/>
            </w:pPr>
            <w:r>
              <w:rPr>
                <w:rFonts w:ascii="Times New Roman" w:hAnsi="Times New Roman" w:cs="Times New Roman"/>
                <w:sz w:val="24"/>
                <w:szCs w:val="24"/>
              </w:rPr>
              <w:t xml:space="preserve">Memakai metode sekuensial dan tanpa kecerdasan buatan, serta hanya menguji fungsionalitas</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Sistem 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penjualan, bukan memproduksi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dan mutu luaran sistem tidak dinilai dengan rubrik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Tabel 2.1 dapat disimpulkan beberapa hal. Penelitian Tran dkk. (2025) dan Lin dkk. (2025) telah memetakan mekanisme kolaborasi serta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namun keduanya berhenti pada tataran konseptual dan tidak menerapkannya pada proses bisnis yang berjalan. Chu dkk. (2025) telah membawa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ke ranah pemasaran, tetapi agen digunakan untuk mensimulasikan perilaku konsumen, bukan untuk memproduksi materi konten. Aghaei dkk. (2025) memetakan peluang penerapan model bahasa besar pada manajemen pemasaran secara luas tanpa membangun sistem maupun mengukur dampaknya. Pada konteks Indonesia, Rahman dkk. (2025) menyoroti risiko halusinasi dan bias pada luaran model bahasa besar serta menekankan perlunya kendali manusia, namun kajian tersebut berada pada domain jurnalisme. Sementara itu Yusna dkk. (2025), Rasim dkk. (2025), dan Yunus dkk. (2025) mewakili corak penelitian rancang bangun sistem informasi yang lazim di Indonesia. Ketiganya menguji sistem sampai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dan Yunus dkk. (2025) menambahkan pengukuran kebergunaan melalui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 namun tidak satu pun menilai mutu materi yang dihasilkan sistem.</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serta mengukur dampaknya pada dua sisi sekaligus yaitu efisiensi waktu dan konsistensi identitas merek dalam konteks ritel berbahasa Indonesia. Celah inilah yang hendak diisi oleh penelitian ini.</w:t>
      </w:r>
    </w:p>
    <w:p>
      <w:pPr>
        <w:jc w:val="both"/>
        <w:spacing w:before="0" w:after="0" w:line="360" w:lineRule="auto"/>
        <w:ind w:firstLine="567"/>
      </w:pPr>
      <w:r>
        <w:rPr>
          <w:rFonts w:ascii="Times New Roman" w:hAnsi="Times New Roman" w:cs="Times New Roman"/>
          <w:b/>
          <w:sz w:val="24"/>
          <w:szCs w:val="24"/>
        </w:rPr>
        <w:t xml:space="preserve">[CATATAN UNTUK PENULIS: delapan sumber di atas sudah diverifikasi keberadaannya langsung ke halaman penerbit. Jumlah ini sudah memenuhi praktik lazim delapan sampai sepuluh penelitian terdahulu. Bila pembimbing meminta tambahan, perluas penelusuran pada Garuda dan SINTA dengan kata kunci: evaluasi luaran model bahasa besar bahasa Indonesia, sistem informasi pemasaran berbasis kecerdasan buatan, dan konsistensi gaya bahasa merek.]</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b/>
          <w:sz w:val="24"/>
          <w:szCs w:val="24"/>
        </w:rPr>
        <w:t xml:space="preserve">[SITASI DIBUTUHKAN: definisi pemasaran konten digital dan tahapan produksinya, dari buku terbitan maksimal sepuluh tahun terakhir atau jurnal maksimal lima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b/>
          <w:sz w:val="24"/>
          <w:szCs w:val="24"/>
        </w:rPr>
        <w:t xml:space="preserve">[SITASI DIBUTUHKAN: definisi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serta dimensi pengukurannya. Penelusuran pada tahap ini belum menemukan sumber akademik yang layak; hasil pencarian didominasi tulisan pemasaran komersial yang tidak melalui telaah sejawat sehingga tidak dapat dipakai. Cari pada jurnal manajemen pemasaran atau buku </w:t>
      </w:r>
      <w:r>
        <w:rPr>
          <w:rFonts w:ascii="Times New Roman" w:hAnsi="Times New Roman" w:cs="Times New Roman"/>
          <w:i/>
          <w:sz w:val="24"/>
          <w:szCs w:val="24"/>
        </w:rPr>
        <w:t xml:space="preserve">branding</w:t>
      </w:r>
      <w:r>
        <w:rPr>
          <w:rFonts w:ascii="Times New Roman" w:hAnsi="Times New Roman" w:cs="Times New Roman"/>
          <w:sz w:val="24"/>
          <w:szCs w:val="24"/>
        </w:rPr>
        <w:t xml:space="preserve"> terbitan maksimal sepuluh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b/>
          <w:sz w:val="24"/>
          <w:szCs w:val="24"/>
        </w:rPr>
        <w:t xml:space="preserve">[SITASI DIBUTUHKAN: konsep </w:t>
      </w:r>
      <w:r>
        <w:rPr>
          <w:rFonts w:ascii="Times New Roman" w:hAnsi="Times New Roman" w:cs="Times New Roman"/>
          <w:i/>
          <w:sz w:val="24"/>
          <w:szCs w:val="24"/>
        </w:rPr>
        <w:t xml:space="preserve">workflow automation</w:t>
      </w:r>
      <w:r>
        <w:rPr>
          <w:rFonts w:ascii="Times New Roman" w:hAnsi="Times New Roman" w:cs="Times New Roman"/>
          <w:sz w:val="24"/>
          <w:szCs w:val="24"/>
        </w:rPr>
        <w:t xml:space="preserve"> dan antrian tugas asinkron pada aplikasi web]</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b/>
          <w:sz w:val="24"/>
          <w:szCs w:val="24"/>
        </w:rPr>
        <w:t xml:space="preserve">[SITASI DIBUTUHKAN: arsitektur klien-server dan prinsip REST API]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b/>
          <w:sz w:val="24"/>
          <w:szCs w:val="24"/>
        </w:rPr>
        <w:t xml:space="preserve">[SITASI DIBUTUHKAN: penyusunan rubrik penilaian dan pengukuran kesepakatan antar-penilai, misalnya koefisien Kappa]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b/>
          <w:sz w:val="24"/>
          <w:szCs w:val="24"/>
        </w:rPr>
        <w:t xml:space="preserve">[SITASI DIBUTUHKAN: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pengembangan dan pengoperasian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b/>
          <w:sz w:val="24"/>
          <w:szCs w:val="24"/>
        </w:rPr>
        <w:t xml:space="preserve">[BUTUH KEPUTUSAN PENULIS: tentukan jumlah naskah yang diuji, jumlah penilai, dan asal penilai. Angka ini menentukan uji statistik yang dapat dipakai pada sub-bab 3.2.6. Jumlah penilai minimal tiga orang; penilai dari luar tim jauh lebih kuat menahan keberatan mengenai keberpihakan.]</w:t>
      </w:r>
    </w:p>
    <w:p>
      <w:pPr>
        <w:jc w:val="both"/>
        <w:spacing w:before="0" w:after="0" w:line="360" w:lineRule="auto"/>
        <w:ind w:firstLine="567"/>
      </w:pPr>
      <w:r>
        <w:rPr>
          <w:rFonts w:ascii="Times New Roman" w:hAnsi="Times New Roman" w:cs="Times New Roman"/>
          <w:b/>
          <w:sz w:val="24"/>
          <w:szCs w:val="24"/>
        </w:rPr>
        <w:t xml:space="preserve">[BUTUH KEPUTUSAN PENULIS: nyatakan bentuk data sebelum-sesudah yang dimiliki, apakah berupa catatan tertulis, catatan sistem, atau perkiraan. Bila berupa perkiraan, hal tersebut wajib dinyatakan sebagai keterbatasan penelitian dan uji statistik parametrik tidak dapat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rubrik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rubrik diturunkan dari bidang yang tersimpan pada profil merek di dalam sistem, sehingga penilaian dapat ditelusuri kembali ke acuan yang benar-benar dipakai sistem. Setiap dimensi dinilai pada rentang 1 sampai 4 sehingga skor maksimal seluruh dimensi adalah 20.</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Indikator yang dinilai</w:t>
            </w:r>
          </w:p>
        </w:tc>
        <w:tc>
          <w:tcPr>
            <w:tcW w:w="2778" w:type="dxa"/>
            <w:shd w:val="clear" w:fill="EDEDED"/>
          </w:tcPr>
          <w:p>
            <w:pPr>
              <w:jc w:val="left"/>
              <w:spacing w:before="0" w:after="0" w:line="240" w:lineRule="auto"/>
            </w:pPr>
            <w:r>
              <w:rPr>
                <w:rFonts w:ascii="Times New Roman" w:hAnsi="Times New Roman" w:cs="Times New Roman"/>
                <w:b/>
                <w:sz w:val="24"/>
                <w:szCs w:val="24"/>
              </w:rPr>
              <w:t xml:space="preserve">Rentang skor</w:t>
            </w:r>
          </w:p>
        </w:tc>
      </w:tr>
      <w:tr>
        <w:tc>
          <w:tcPr>
            <w:tcW w:w="2381" w:type="dxa"/>
          </w:tcPr>
          <w:p>
            <w:pPr>
              <w:jc w:val="left"/>
              <w:spacing w:before="0" w:after="0" w:line="240" w:lineRule="auto"/>
            </w:pPr>
            <w:r>
              <w:rPr>
                <w:rFonts w:ascii="Times New Roman" w:hAnsi="Times New Roman" w:cs="Times New Roman"/>
                <w:sz w:val="24"/>
                <w:szCs w:val="24"/>
              </w:rPr>
              <w:t xml:space="preserve">Gaya bahasa</w:t>
            </w:r>
          </w:p>
        </w:tc>
        <w:tc>
          <w:tcPr>
            <w:tcW w:w="2778" w:type="dxa"/>
          </w:tcPr>
          <w:p>
            <w:pPr>
              <w:jc w:val="left"/>
              <w:spacing w:before="0" w:after="0" w:line="240" w:lineRule="auto"/>
            </w:pPr>
            <w:r>
              <w:rPr>
                <w:rFonts w:ascii="Times New Roman" w:hAnsi="Times New Roman" w:cs="Times New Roman"/>
                <w:sz w:val="24"/>
                <w:szCs w:val="24"/>
              </w:rPr>
              <w:t xml:space="preserve">Kesesuaian nada, sapaan, dan tingkat formalitas dengan gaya bahasa yang ditetapkan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Sasaran audiens</w:t>
            </w:r>
          </w:p>
        </w:tc>
        <w:tc>
          <w:tcPr>
            <w:tcW w:w="2778" w:type="dxa"/>
          </w:tcPr>
          <w:p>
            <w:pPr>
              <w:jc w:val="left"/>
              <w:spacing w:before="0" w:after="0" w:line="240" w:lineRule="auto"/>
            </w:pPr>
            <w:r>
              <w:rPr>
                <w:rFonts w:ascii="Times New Roman" w:hAnsi="Times New Roman" w:cs="Times New Roman"/>
                <w:sz w:val="24"/>
                <w:szCs w:val="24"/>
              </w:rPr>
              <w:t xml:space="preserve">Kesesuaian pilihan diksi dan rujukan budaya dengan audiens yang ditetapkan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Keunggulan produk</w:t>
            </w:r>
          </w:p>
        </w:tc>
        <w:tc>
          <w:tcPr>
            <w:tcW w:w="2778" w:type="dxa"/>
          </w:tcPr>
          <w:p>
            <w:pPr>
              <w:jc w:val="left"/>
              <w:spacing w:before="0" w:after="0" w:line="240" w:lineRule="auto"/>
            </w:pPr>
            <w:r>
              <w:rPr>
                <w:rFonts w:ascii="Times New Roman" w:hAnsi="Times New Roman" w:cs="Times New Roman"/>
                <w:sz w:val="24"/>
                <w:szCs w:val="24"/>
              </w:rPr>
              <w:t xml:space="preserve">Ketepatan penonjolan keunggulan produk sesuai profil merek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Kepatuhan batasan</w:t>
            </w:r>
          </w:p>
        </w:tc>
        <w:tc>
          <w:tcPr>
            <w:tcW w:w="2778" w:type="dxa"/>
          </w:tcPr>
          <w:p>
            <w:pPr>
              <w:jc w:val="left"/>
              <w:spacing w:before="0" w:after="0" w:line="240" w:lineRule="auto"/>
            </w:pPr>
            <w:r>
              <w:rPr>
                <w:rFonts w:ascii="Times New Roman" w:hAnsi="Times New Roman" w:cs="Times New Roman"/>
                <w:sz w:val="24"/>
                <w:szCs w:val="24"/>
              </w:rPr>
              <w:t xml:space="preserve">Ketaatan pada batasan penulisan yang ditetapkan, misalnya larangan klaim berlebihan</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r>
        <w:tc>
          <w:tcPr>
            <w:tcW w:w="2381" w:type="dxa"/>
          </w:tcPr>
          <w:p>
            <w:pPr>
              <w:jc w:val="left"/>
              <w:spacing w:before="0" w:after="0" w:line="240" w:lineRule="auto"/>
            </w:pPr>
            <w:r>
              <w:rPr>
                <w:rFonts w:ascii="Times New Roman" w:hAnsi="Times New Roman" w:cs="Times New Roman"/>
                <w:sz w:val="24"/>
                <w:szCs w:val="24"/>
              </w:rPr>
              <w:t xml:space="preserve">Ajakan bertindak</w:t>
            </w:r>
          </w:p>
        </w:tc>
        <w:tc>
          <w:tcPr>
            <w:tcW w:w="2778" w:type="dxa"/>
          </w:tcPr>
          <w:p>
            <w:pPr>
              <w:jc w:val="left"/>
              <w:spacing w:before="0" w:after="0" w:line="240" w:lineRule="auto"/>
            </w:pPr>
            <w:r>
              <w:rPr>
                <w:rFonts w:ascii="Times New Roman" w:hAnsi="Times New Roman" w:cs="Times New Roman"/>
                <w:sz w:val="24"/>
                <w:szCs w:val="24"/>
              </w:rPr>
              <w:t xml:space="preserve">Ketepatan bentuk dan penempatan ajakan bertindak</w:t>
            </w:r>
          </w:p>
        </w:tc>
        <w:tc>
          <w:tcPr>
            <w:tcW w:w="2778" w:type="dxa"/>
          </w:tcPr>
          <w:p>
            <w:pPr>
              <w:jc w:val="left"/>
              <w:spacing w:before="0" w:after="0" w:line="240" w:lineRule="auto"/>
            </w:pPr>
            <w:r>
              <w:rPr>
                <w:rFonts w:ascii="Times New Roman" w:hAnsi="Times New Roman" w:cs="Times New Roman"/>
                <w:sz w:val="24"/>
                <w:szCs w:val="24"/>
              </w:rPr>
              <w:t xml:space="preserve">1 sampai 4</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[CATATAN UNTUK PENULIS: dimensi rubrik di atas diturunkan dari struktur profil merek pada sistem, bukan dari pustaka. Setelah sub-bab 2.2.4 memperoleh rujukan akademik mengenai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rubrik ini wajib ditinjau ulang agar dimensinya berpijak pada teori, dan validitas isinya sebaiknya ditelaah oleh dosen pembimbing.]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rata-rata dan simpangan baku, kemudian dibandingkan antara proses lama dan proses baru menggunakan uji beda yang sesuai dengan sebaran data dan jumlah sampel.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dikembangkan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sifat pengembangan yang berlangsung bersifat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inilah penyempurnaan konteks merek dilakukan setelah keluaran sistem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operasional. Kegiatan yang dilakukan meliputi penempatan seluruh layanan dalam wadah, pemasangan pada peladen, penyiapan akun awal, dan pengujian menyeluruh pada lingkungan sebenarnya. Keluaran fase ini berupa sistem yang dapat diakses dan digunakan tim.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ke-1</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ke-2</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ke-3</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ke-4</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Bulan ke-5</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Pengujian waktu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pPr>
        <w:jc w:val="both"/>
        <w:spacing w:before="0" w:after="0" w:line="360" w:lineRule="auto"/>
        <w:ind w:firstLine="567"/>
      </w:pPr>
      <w:r>
        <w:rPr>
          <w:rFonts w:ascii="Times New Roman" w:hAnsi="Times New Roman" w:cs="Times New Roman"/>
          <w:b/>
          <w:sz w:val="24"/>
          <w:szCs w:val="24"/>
        </w:rPr>
        <w:t xml:space="preserve">[BUTUH KEPUTUSAN PENULIS: jadwal di atas masih berupa usulan berdurasi lima bulan. Sesuaikan bulan awal dan bulan akhir dengan tanggal mulai penelitian serta target seminar proposal yang sebenarnya, lalu ganti judul kolom menjadi nama bulan.]</w:t>
      </w: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