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kemajuan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Perancangan Sistem 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Sistem yang dirancang berstatus prototipe dan masih berada pada tahap pengujian, belum diterapkan pada kegiatan operasional harian. Penilaian yang dilakukan penelitian ini terbatas pada keluaran prototipe tersebut;</w:t>
      </w:r>
    </w:p>
    <w:p>
      <w:pPr>
        <w:jc w:val="both"/>
        <w:spacing w:before="0" w:after="0" w:line="360" w:lineRule="auto"/>
        <w:ind w:left="1134" w:hanging="567"/>
      </w:pPr>
      <w:r>
        <w:rPr>
          <w:rFonts w:ascii="Times New Roman" w:hAnsi="Times New Roman" w:cs="Times New Roman"/>
          <w:sz w:val="24"/>
          <w:szCs w:val="24"/>
        </w:rPr>
        <w:t xml:space="preserve">c.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d.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e.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f.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g.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h.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perancangan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perancangan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dilanjutkan penelitian berikutnya.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menyusun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perancangan sistem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merancang sistem produksi konten pemasaran untuk proses kerja yang nyata,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kerja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perancangan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perancangan berlangsung berulang. Rancangan kemampuan agen dan penyusunan konteks merek beberapa kali diperbaiki selama prototipe diuji, berdasarkan penilaian terhadap mutu materi yang dihasilkan. Sebagai pembanding, Yusna dkk. (2025) membangun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perancangan dan pengujian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dirancang dan dibangun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perancangan berlangsung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 penyempurnaan konteks merek dilakukan ketika keluaran prototipe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uji yang menyerupai lingkungan sebenarnya. Kegiatan yang dilakukan meliputi penempatan seluruh layanan dalam wadah, pemasangan pada peladen uji, penyiapan akun awal, dan pengujian menyeluruh. Keluaran fase ini berupa prototipe yang dapat diakses dan diuji oleh tim. Penerapan penuh pada kegiatan operasional harian berada di luar lingkup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Bramantyo, S. B., Dewi, I. N., Reza, I. M., Saputra, F. O., &amp; Hasibuan, Z. A. (2025). Pengembangan arsitektur REST API untuk integrasi data real-time pada website pemantauan kualitas udara lahan pertanian. </w:t>
      </w:r>
      <w:r>
        <w:rPr>
          <w:rFonts w:ascii="Times New Roman" w:hAnsi="Times New Roman" w:cs="Times New Roman"/>
          <w:i/>
          <w:sz w:val="24"/>
          <w:szCs w:val="24"/>
        </w:rPr>
        <w:t xml:space="preserve">Transmisi: Jurnal Ilmiah Teknik Elektro, 27</w:t>
      </w:r>
      <w:r>
        <w:rPr>
          <w:rFonts w:ascii="Times New Roman" w:hAnsi="Times New Roman" w:cs="Times New Roman"/>
          <w:sz w:val="24"/>
          <w:szCs w:val="24"/>
        </w:rPr>
        <w:t xml:space="preserve">(1), 49-56. https://doi.org/10.14710/transmisi.27.1.49-56</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Gutiérrez-Leal, D. E., León-Sandoval, E., Quintana Contreras, E., &amp; Barbosa-Santillán, L. I. (2026). Production architecture of an AI-powered survey evaluation system: Insights from education. </w:t>
      </w:r>
      <w:r>
        <w:rPr>
          <w:rFonts w:ascii="Times New Roman" w:hAnsi="Times New Roman" w:cs="Times New Roman"/>
          <w:i/>
          <w:sz w:val="24"/>
          <w:szCs w:val="24"/>
        </w:rPr>
        <w:t xml:space="preserve">Applied System Innovation, 9</w:t>
      </w:r>
      <w:r>
        <w:rPr>
          <w:rFonts w:ascii="Times New Roman" w:hAnsi="Times New Roman" w:cs="Times New Roman"/>
          <w:sz w:val="24"/>
          <w:szCs w:val="24"/>
        </w:rPr>
        <w:t xml:space="preserve">(6), 118. https://doi.org/10.3390/asi9060118</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Kadir, A. (2020). </w:t>
      </w:r>
      <w:r>
        <w:rPr>
          <w:rFonts w:ascii="Times New Roman" w:hAnsi="Times New Roman" w:cs="Times New Roman"/>
          <w:i/>
          <w:sz w:val="24"/>
          <w:szCs w:val="24"/>
        </w:rPr>
        <w:t xml:space="preserve">Dasar perancangan dan implementasi database relasional</w:t>
      </w:r>
      <w:r>
        <w:rPr>
          <w:rFonts w:ascii="Times New Roman" w:hAnsi="Times New Roman" w:cs="Times New Roman"/>
          <w:sz w:val="24"/>
          <w:szCs w:val="24"/>
        </w:rPr>
        <w:t xml:space="preserve"> (Edisi revisi). Penerbit Andi.</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Kirkby, A., Baumgarth, C., &amp; Henseler, J. (2025). Welcome, new brand colleague! A conceptual framework for efficient and effective human-AI co-creation for creative brand voice. </w:t>
      </w:r>
      <w:r>
        <w:rPr>
          <w:rFonts w:ascii="Times New Roman" w:hAnsi="Times New Roman" w:cs="Times New Roman"/>
          <w:i/>
          <w:sz w:val="24"/>
          <w:szCs w:val="24"/>
        </w:rPr>
        <w:t xml:space="preserve">Journal of Brand Management, 32</w:t>
      </w:r>
      <w:r>
        <w:rPr>
          <w:rFonts w:ascii="Times New Roman" w:hAnsi="Times New Roman" w:cs="Times New Roman"/>
          <w:sz w:val="24"/>
          <w:szCs w:val="24"/>
        </w:rPr>
        <w:t xml:space="preserve">(5), 385-399. https://doi.org/10.1057/s41262-025-00387-y</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Putra, I. A., Basit, A. A., &amp; Avrianto, A. (2025). Pengaruh strategi digital marketing dan content marketing dalam meningkatkan kinerja pemasaran Viera Sutra Alam. </w:t>
      </w:r>
      <w:r>
        <w:rPr>
          <w:rFonts w:ascii="Times New Roman" w:hAnsi="Times New Roman" w:cs="Times New Roman"/>
          <w:i/>
          <w:sz w:val="24"/>
          <w:szCs w:val="24"/>
        </w:rPr>
        <w:t xml:space="preserve">Jurnal Ilmiah Manajemen, Ekonomi, &amp; Akuntansi (MEA), 9</w:t>
      </w:r>
      <w:r>
        <w:rPr>
          <w:rFonts w:ascii="Times New Roman" w:hAnsi="Times New Roman" w:cs="Times New Roman"/>
          <w:sz w:val="24"/>
          <w:szCs w:val="24"/>
        </w:rPr>
        <w:t xml:space="preserve">(2), 2520-2534. https://doi.org/10.31955/mea.v9i2.5979</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Renanti, M. D., Pratini, C. N. P., Nisrina, S. N. A., Zaki, F. M., Luthfiana, D. E., &amp; Baruna A., M. E. (2025). Optimalisasi desain basis data e-commerce untuk menjamin integritas data (studi kasus: web e-commerce Rie.charge). </w:t>
      </w:r>
      <w:r>
        <w:rPr>
          <w:rFonts w:ascii="Times New Roman" w:hAnsi="Times New Roman" w:cs="Times New Roman"/>
          <w:i/>
          <w:sz w:val="24"/>
          <w:szCs w:val="24"/>
        </w:rPr>
        <w:t xml:space="preserve">Jurnal CoSciTech, 6</w:t>
      </w:r>
      <w:r>
        <w:rPr>
          <w:rFonts w:ascii="Times New Roman" w:hAnsi="Times New Roman" w:cs="Times New Roman"/>
          <w:sz w:val="24"/>
          <w:szCs w:val="24"/>
        </w:rPr>
        <w:t xml:space="preserve">(3), 444-452. https://doi.org/10.37859/coscitech.v6i3.10643</w:t>
      </w:r>
    </w:p>
    <w:p>
      <w:pPr>
        <w:jc w:val="both"/>
        <w:spacing w:before="0" w:after="0" w:line="360" w:lineRule="auto"/>
        <w:ind w:left="720" w:hanging="720"/>
      </w:pPr>
      <w:r>
        <w:rPr>
          <w:rFonts w:ascii="Times New Roman" w:hAnsi="Times New Roman" w:cs="Times New Roman"/>
          <w:sz w:val="24"/>
          <w:szCs w:val="24"/>
        </w:rPr>
        <w:t xml:space="preserve">Rospricilia, T. A., &amp; Ma'ady, M. N. P. (2024). Pemodelan integration use case (IUC): Perancangan use case diagram (UML) untuk sistem-sistem yang terintegrasi. </w:t>
      </w:r>
      <w:r>
        <w:rPr>
          <w:rFonts w:ascii="Times New Roman" w:hAnsi="Times New Roman" w:cs="Times New Roman"/>
          <w:i/>
          <w:sz w:val="24"/>
          <w:szCs w:val="24"/>
        </w:rPr>
        <w:t xml:space="preserve">INTEGER: Journal of Information Technology, 9</w:t>
      </w:r>
      <w:r>
        <w:rPr>
          <w:rFonts w:ascii="Times New Roman" w:hAnsi="Times New Roman" w:cs="Times New Roman"/>
          <w:sz w:val="24"/>
          <w:szCs w:val="24"/>
        </w:rPr>
        <w:t xml:space="preserve">(2). https://doi.org/10.31284/j.integer.2024.v9i2.6345</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