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w:t>
      </w:r>
      <w:r>
        <w:rPr>
          <w:rFonts w:ascii="Times New Roman" w:hAnsi="Times New Roman" w:cs="Times New Roman"/>
          <w:b/>
          <w:sz w:val="24"/>
          <w:szCs w:val="24"/>
        </w:rPr>
        <w:t xml:space="preserve">[SITASI DIBUTUHKAN: pertumbuhan perdagangan elektronik atau ritel daring di Indonesia, jurnal maksimal lima tahun terakhir]</w:t>
      </w:r>
      <w:r>
        <w:rPr>
          <w:rFonts w:ascii="Times New Roman" w:hAnsi="Times New Roman" w:cs="Times New Roman"/>
          <w:sz w:val="24"/>
          <w:szCs w:val="24"/>
        </w:rPr>
        <w:t xml:space="preserve">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setiap kanal menuntut penyesuaian format tersendiri. </w:t>
      </w:r>
      <w:r>
        <w:rPr>
          <w:rFonts w:ascii="Times New Roman" w:hAnsi="Times New Roman" w:cs="Times New Roman"/>
          <w:b/>
          <w:sz w:val="24"/>
          <w:szCs w:val="24"/>
        </w:rPr>
        <w:t xml:space="preserve">[SITASI DIBUTUHKAN: karakteristik pemasaran konten pada ritel mode atau sepatu olahraga]</w:t>
      </w:r>
      <w:r>
        <w:rPr>
          <w:rFonts w:ascii="Times New Roman" w:hAnsi="Times New Roman" w:cs="Times New Roman"/>
          <w:sz w:val="24"/>
          <w:szCs w:val="24"/>
        </w:rPr>
        <w:t xml:space="preserve">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pengembangan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materi yang dihasilkan, sebagaimana terlihat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untuk satu peluncuran memerlukan waktu </w:t>
      </w:r>
      <w:r>
        <w:rPr>
          <w:rFonts w:ascii="Times New Roman" w:hAnsi="Times New Roman" w:cs="Times New Roman"/>
          <w:b/>
          <w:sz w:val="24"/>
          <w:szCs w:val="24"/>
        </w:rPr>
        <w:t xml:space="preserve">[ANGKA DARI DATA PENELITI: durasi rata-rata sebelum sistem diterapkan, sebutkan satuan dan jumlah sampel]</w:t>
      </w:r>
      <w:r>
        <w:rPr>
          <w:rFonts w:ascii="Times New Roman" w:hAnsi="Times New Roman" w:cs="Times New Roman"/>
          <w:sz w:val="24"/>
          <w:szCs w:val="24"/>
        </w:rPr>
        <w:t xml:space="preserve">.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sepenuhnya pada kemampuan masing-masing admin, sehingga pergantian personel langsung menurunkan mutu keluaran. Ketiadaan jejak pencatatan juga menyulitkan pertanggungjawaban ketika materi yang telah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c.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d.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e.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f.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p>
      <w:r>
        <w:br w:type="page"/>
      </w:r>
    </w:p>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rancang bangun sistem informasi. Kriteria inklusi yang ditetapkan adalah publikasi terbitan tahun 2021 sampai 2026, berbahasa Indonesia atau Inggris, dan membahas penerapan model bahasa besar pada produksi konten, evaluasi luaran teks, atau pengembangan sistem informasi. Penelusuran menghasilkan dua puluh penelitian yang relevan.</w:t>
      </w:r>
    </w:p>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pengembangan dan pembanding konteks lokal, sehingga cukup dibandingkan pada dimensi yang sama tanpa perlu diuraikan satu per satu.</w:t>
      </w:r>
    </w:p>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dikembangkan lebih lanjut.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mengembangkan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pengembangan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membangun sistem produksi konten pemasaran yang benar-benar dioperasikan,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b/>
          <w:sz w:val="24"/>
          <w:szCs w:val="24"/>
        </w:rPr>
        <w:t xml:space="preserve">[SITASI DIBUTUHKAN: definisi pemasaran konten digital dan tahapan produksinya, dari buku terbitan maksimal sepuluh tahun terakhir atau jurnal maksimal lima tahun terakhir]</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cara sebuah merek berbicara kepada audiensnya, yang tercermin pada nada, pilihan kata, dan tingkat formalitas yang digunakan secara konsisten di seluruh titik sentuh. 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b/>
          <w:sz w:val="24"/>
          <w:szCs w:val="24"/>
        </w:rPr>
        <w:t xml:space="preserve">[SITASI DIBUTUHKAN: satu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dari buku </w:t>
      </w:r>
      <w:r>
        <w:rPr>
          <w:rFonts w:ascii="Times New Roman" w:hAnsi="Times New Roman" w:cs="Times New Roman"/>
          <w:i/>
          <w:sz w:val="24"/>
          <w:szCs w:val="24"/>
        </w:rPr>
        <w:t xml:space="preserve">branding</w:t>
      </w:r>
      <w:r>
        <w:rPr>
          <w:rFonts w:ascii="Times New Roman" w:hAnsi="Times New Roman" w:cs="Times New Roman"/>
          <w:sz w:val="24"/>
          <w:szCs w:val="24"/>
        </w:rPr>
        <w:t xml:space="preserve"> atau jurnal manajemen pemasaran, terbitan maksimal sepuluh tahun terakhir, untuk memperkuat paragraf pembuka]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b/>
          <w:sz w:val="24"/>
          <w:szCs w:val="24"/>
        </w:rPr>
        <w:t xml:space="preserve">[SITASI DIBUTUHKAN: konsep </w:t>
      </w:r>
      <w:r>
        <w:rPr>
          <w:rFonts w:ascii="Times New Roman" w:hAnsi="Times New Roman" w:cs="Times New Roman"/>
          <w:i/>
          <w:sz w:val="24"/>
          <w:szCs w:val="24"/>
        </w:rPr>
        <w:t xml:space="preserve">workflow automation</w:t>
      </w:r>
      <w:r>
        <w:rPr>
          <w:rFonts w:ascii="Times New Roman" w:hAnsi="Times New Roman" w:cs="Times New Roman"/>
          <w:sz w:val="24"/>
          <w:szCs w:val="24"/>
        </w:rPr>
        <w:t xml:space="preserve"> dan antrian tugas asinkron pada aplikasi web]</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b/>
          <w:sz w:val="24"/>
          <w:szCs w:val="24"/>
        </w:rPr>
        <w:t xml:space="preserve">[SITASI DIBUTUHKAN: arsitektur klien-server dan prinsip REST API]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pengembangan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pengembangan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sesuai dengan sifat pengembangan yang benar-benar berlangsung. Rancangan kemampuan agen dan penyusunan konteks merek beberapa kali disempurnakan setelah sistem berjalan, berdasarkan penilaian terhadap mutu materi yang dihasilkan. Sebagai pembanding, Yusna dkk. (2025) mengembangkan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b/>
          <w:sz w:val="24"/>
          <w:szCs w:val="24"/>
        </w:rPr>
        <w:t xml:space="preserve">[SITASI DIBUTUHKAN: penyusunan rubrik penilaian dan pengukuran kesepakatan antar-penilai, misalnya koefisien Kappa]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b/>
          <w:sz w:val="24"/>
          <w:szCs w:val="24"/>
        </w:rPr>
        <w:t xml:space="preserve">[SITASI DIBUTUHKAN: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p>
      <w:r>
        <w:br w:type="page"/>
      </w:r>
    </w:p>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pengembangan dan pengoperasian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b/>
          <w:sz w:val="24"/>
          <w:szCs w:val="24"/>
        </w:rPr>
        <w:t xml:space="preserve">[BUTUH KEPUTUSAN PENULIS: tentukan jumlah naskah yang diuji, jumlah penilai, dan asal penilai. Angka ini menentukan uji statistik yang dapat dipakai pada sub-bab 3.2.6. Jumlah penilai minimal tiga orang; penilai dari luar tim jauh lebih kuat menahan keberatan mengenai keberpihakan.]</w:t>
      </w:r>
    </w:p>
    <w:p>
      <w:pPr>
        <w:jc w:val="both"/>
        <w:spacing w:before="0" w:after="0" w:line="360" w:lineRule="auto"/>
        <w:ind w:firstLine="567"/>
      </w:pPr>
      <w:r>
        <w:rPr>
          <w:rFonts w:ascii="Times New Roman" w:hAnsi="Times New Roman" w:cs="Times New Roman"/>
          <w:b/>
          <w:sz w:val="24"/>
          <w:szCs w:val="24"/>
        </w:rPr>
        <w:t xml:space="preserve">[BUTUH KEPUTUSAN PENULIS: nyatakan bentuk data sebelum-sesudah yang dimiliki, apakah berupa catatan tertulis, catatan sistem, atau perkiraan. Bila berupa perkiraan, hal tersebut wajib dinyatakan sebagai keterbatasan penelitian dan uji statistik parametrik tidak dapat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rubrik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rubrik diturunkan dari bidang yang tersimpan pada profil merek di dalam sistem, sehingga penilaian dapat ditelusuri kembali ke acuan yang benar-benar dipakai sistem. Setiap dimensi dinilai pada rentang 1 sampai 4 sehingga skor maksimal seluruh dimensi adalah 20.</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2778" w:type="dxa"/>
            <w:shd w:val="clear" w:fill="EDEDED"/>
          </w:tcPr>
          <w:p>
            <w:pPr>
              <w:jc w:val="left"/>
              <w:spacing w:before="0" w:after="0" w:line="240" w:lineRule="auto"/>
            </w:pPr>
            <w:r>
              <w:rPr>
                <w:rFonts w:ascii="Times New Roman" w:hAnsi="Times New Roman" w:cs="Times New Roman"/>
                <w:b/>
                <w:sz w:val="24"/>
                <w:szCs w:val="24"/>
              </w:rPr>
              <w:t xml:space="preserve">Indikator yang dinilai</w:t>
            </w:r>
          </w:p>
        </w:tc>
        <w:tc>
          <w:tcPr>
            <w:tcW w:w="2778" w:type="dxa"/>
            <w:shd w:val="clear" w:fill="EDEDED"/>
          </w:tcPr>
          <w:p>
            <w:pPr>
              <w:jc w:val="left"/>
              <w:spacing w:before="0" w:after="0" w:line="240" w:lineRule="auto"/>
            </w:pPr>
            <w:r>
              <w:rPr>
                <w:rFonts w:ascii="Times New Roman" w:hAnsi="Times New Roman" w:cs="Times New Roman"/>
                <w:b/>
                <w:sz w:val="24"/>
                <w:szCs w:val="24"/>
              </w:rPr>
              <w:t xml:space="preserve">Rentang skor</w:t>
            </w:r>
          </w:p>
        </w:tc>
      </w:tr>
      <w:tr>
        <w:tc>
          <w:tcPr>
            <w:tcW w:w="2381" w:type="dxa"/>
          </w:tcPr>
          <w:p>
            <w:pPr>
              <w:jc w:val="left"/>
              <w:spacing w:before="0" w:after="0" w:line="240" w:lineRule="auto"/>
            </w:pPr>
            <w:r>
              <w:rPr>
                <w:rFonts w:ascii="Times New Roman" w:hAnsi="Times New Roman" w:cs="Times New Roman"/>
                <w:sz w:val="24"/>
                <w:szCs w:val="24"/>
              </w:rPr>
              <w:t xml:space="preserve">Gaya bahasa</w:t>
            </w:r>
          </w:p>
        </w:tc>
        <w:tc>
          <w:tcPr>
            <w:tcW w:w="2778" w:type="dxa"/>
          </w:tcPr>
          <w:p>
            <w:pPr>
              <w:jc w:val="left"/>
              <w:spacing w:before="0" w:after="0" w:line="240" w:lineRule="auto"/>
            </w:pPr>
            <w:r>
              <w:rPr>
                <w:rFonts w:ascii="Times New Roman" w:hAnsi="Times New Roman" w:cs="Times New Roman"/>
                <w:sz w:val="24"/>
                <w:szCs w:val="24"/>
              </w:rPr>
              <w:t xml:space="preserve">Kesesuaian nada, sapaan, dan tingkat formalitas dengan gaya bahasa yang ditetapkan profil merek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Sasaran audiens</w:t>
            </w:r>
          </w:p>
        </w:tc>
        <w:tc>
          <w:tcPr>
            <w:tcW w:w="2778" w:type="dxa"/>
          </w:tcPr>
          <w:p>
            <w:pPr>
              <w:jc w:val="left"/>
              <w:spacing w:before="0" w:after="0" w:line="240" w:lineRule="auto"/>
            </w:pPr>
            <w:r>
              <w:rPr>
                <w:rFonts w:ascii="Times New Roman" w:hAnsi="Times New Roman" w:cs="Times New Roman"/>
                <w:sz w:val="24"/>
                <w:szCs w:val="24"/>
              </w:rPr>
              <w:t xml:space="preserve">Kesesuaian pilihan diksi dan rujukan budaya dengan audiens yang ditetapkan</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Keunggulan produk</w:t>
            </w:r>
          </w:p>
        </w:tc>
        <w:tc>
          <w:tcPr>
            <w:tcW w:w="2778" w:type="dxa"/>
          </w:tcPr>
          <w:p>
            <w:pPr>
              <w:jc w:val="left"/>
              <w:spacing w:before="0" w:after="0" w:line="240" w:lineRule="auto"/>
            </w:pPr>
            <w:r>
              <w:rPr>
                <w:rFonts w:ascii="Times New Roman" w:hAnsi="Times New Roman" w:cs="Times New Roman"/>
                <w:sz w:val="24"/>
                <w:szCs w:val="24"/>
              </w:rPr>
              <w:t xml:space="preserve">Ketepatan penonjolan keunggulan produk sesuai profil merek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Kepatuhan batasan</w:t>
            </w:r>
          </w:p>
        </w:tc>
        <w:tc>
          <w:tcPr>
            <w:tcW w:w="2778" w:type="dxa"/>
          </w:tcPr>
          <w:p>
            <w:pPr>
              <w:jc w:val="left"/>
              <w:spacing w:before="0" w:after="0" w:line="240" w:lineRule="auto"/>
            </w:pPr>
            <w:r>
              <w:rPr>
                <w:rFonts w:ascii="Times New Roman" w:hAnsi="Times New Roman" w:cs="Times New Roman"/>
                <w:sz w:val="24"/>
                <w:szCs w:val="24"/>
              </w:rPr>
              <w:t xml:space="preserve">Ketaatan pada batasan penulisan yang ditetapkan, misalnya larangan klaim berlebihan</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Ajakan bertindak</w:t>
            </w:r>
          </w:p>
        </w:tc>
        <w:tc>
          <w:tcPr>
            <w:tcW w:w="2778" w:type="dxa"/>
          </w:tcPr>
          <w:p>
            <w:pPr>
              <w:jc w:val="left"/>
              <w:spacing w:before="0" w:after="0" w:line="240" w:lineRule="auto"/>
            </w:pPr>
            <w:r>
              <w:rPr>
                <w:rFonts w:ascii="Times New Roman" w:hAnsi="Times New Roman" w:cs="Times New Roman"/>
                <w:sz w:val="24"/>
                <w:szCs w:val="24"/>
              </w:rPr>
              <w:t xml:space="preserve">Ketepatan bentuk dan penempatan ajakan bertindak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bl>
    <w:p>
      <w:pPr>
        <w:jc w:val="both"/>
        <w:spacing w:before="0" w:after="0" w:line="360" w:lineRule="auto"/>
      </w:pPr>
    </w:p>
    <w:p>
      <w:pPr>
        <w:jc w:val="both"/>
        <w:spacing w:before="0" w:after="0" w:line="360" w:lineRule="auto"/>
        <w:ind w:firstLine="567"/>
      </w:pPr>
      <w:r>
        <w:rPr>
          <w:rFonts w:ascii="Times New Roman" w:hAnsi="Times New Roman" w:cs="Times New Roman"/>
          <w:b/>
          <w:sz w:val="24"/>
          <w:szCs w:val="24"/>
        </w:rPr>
        <w:t xml:space="preserve">[CATATAN UNTUK PENULIS: dimensi rubrik di atas diturunkan dari struktur profil merek pada sistem, bukan dari pustaka. Setelah sub-bab 2.2.4 memperoleh rujukan akademik mengenai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rubrik ini wajib ditinjau ulang agar dimensinya berpijak pada teori, dan validitas isinya sebaiknya ditelaah oleh dosen pembimbing.]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rata-rata dan simpangan baku, kemudian dibandingkan antara proses lama dan proses baru menggunakan uji beda yang sesuai dengan sebaran data dan jumlah sampel.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dikembangkan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sifat pengembangan yang berlangsung bersifat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inilah penyempurnaan konteks merek dilakukan setelah keluaran sistem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operasional. Kegiatan yang dilakukan meliputi penempatan seluruh layanan dalam wadah, pemasangan pada peladen, penyiapan akun awal, dan pengujian menyeluruh pada lingkungan sebenarnya. Keluaran fase ini berupa sistem yang dapat diakses dan digunakan tim.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ke-1</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ke-2</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ke-3</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ke-4</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ke-5</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Pengujian waktu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pPr>
        <w:jc w:val="both"/>
        <w:spacing w:before="0" w:after="0" w:line="360" w:lineRule="auto"/>
        <w:ind w:firstLine="567"/>
      </w:pPr>
      <w:r>
        <w:rPr>
          <w:rFonts w:ascii="Times New Roman" w:hAnsi="Times New Roman" w:cs="Times New Roman"/>
          <w:b/>
          <w:sz w:val="24"/>
          <w:szCs w:val="24"/>
        </w:rPr>
        <w:t xml:space="preserve">[BUTUH KEPUTUSAN PENULIS: jadwal di atas masih berupa usulan berdurasi lima bulan. Sesuaikan bulan awal dan bulan akhir dengan tanggal mulai penelitian serta target seminar proposal yang sebenarnya, lalu ganti judul kolom menjadi nama bulan.]</w:t>
      </w:r>
    </w:p>
    <w:p>
      <w:r>
        <w:br w:type="page"/>
      </w:r>
    </w:p>
    <w:p>
      <w:pPr>
        <w:jc w:val="center"/>
        <w:spacing w:before="0" w:after="0" w:line="360" w:lineRule="auto"/>
      </w:pPr>
      <w:r>
        <w:rPr>
          <w:rFonts w:ascii="Times New Roman" w:hAnsi="Times New Roman" w:cs="Times New Roman"/>
          <w:b/>
          <w:sz w:val="28"/>
          <w:szCs w:val="28"/>
        </w:rPr>
        <w:t xml:space="preserve">DAFTAR PUSTAKA</w:t>
      </w:r>
    </w:p>
    <w:p>
      <w:pPr>
        <w:jc w:val="both"/>
        <w:spacing w:before="0" w:after="0" w:line="360" w:lineRule="auto"/>
      </w:pPr>
    </w:p>
    <w:p>
      <w:pPr>
        <w:jc w:val="both"/>
        <w:spacing w:before="0" w:after="0" w:line="360" w:lineRule="auto"/>
        <w:ind w:left="720" w:hanging="720"/>
      </w:pPr>
      <w:r>
        <w:rPr>
          <w:rFonts w:ascii="Times New Roman" w:hAnsi="Times New Roman" w:cs="Times New Roman"/>
          <w:sz w:val="24"/>
          <w:szCs w:val="24"/>
        </w:rPr>
        <w:t xml:space="preserve">Aghaei, R., Kiaei, A. A., Boush, M., Vahidi, J., Zavvar, M., Barzegar, Z., &amp; Rofoosheh, M. (2025). Harnessing the potential of large language models in modern marketing management: Applications, future directions, and strategic recommendations.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https://arxiv.org/abs/2501.10685</w:t>
      </w:r>
    </w:p>
    <w:p>
      <w:pPr>
        <w:jc w:val="both"/>
        <w:spacing w:before="0" w:after="0" w:line="360" w:lineRule="auto"/>
        <w:ind w:left="720" w:hanging="720"/>
      </w:pPr>
      <w:r>
        <w:rPr>
          <w:rFonts w:ascii="Times New Roman" w:hAnsi="Times New Roman" w:cs="Times New Roman"/>
          <w:sz w:val="24"/>
          <w:szCs w:val="24"/>
        </w:rPr>
        <w:t xml:space="preserve">Borse, N. S., Chatta Subramaniam, R., &amp; Rebello, N. S. (2025). Investigation of the inter-rater reliability between large language models and human raters in qualitative analysis. Dalam </w:t>
      </w:r>
      <w:r>
        <w:rPr>
          <w:rFonts w:ascii="Times New Roman" w:hAnsi="Times New Roman" w:cs="Times New Roman"/>
          <w:i/>
          <w:sz w:val="24"/>
          <w:szCs w:val="24"/>
        </w:rPr>
        <w:t xml:space="preserve">Physics Education Research Conference 2025</w:t>
      </w:r>
      <w:r>
        <w:rPr>
          <w:rFonts w:ascii="Times New Roman" w:hAnsi="Times New Roman" w:cs="Times New Roman"/>
          <w:sz w:val="24"/>
          <w:szCs w:val="24"/>
        </w:rPr>
        <w:t xml:space="preserve">. https://arxiv.org/abs/2508.14764</w:t>
      </w:r>
    </w:p>
    <w:p>
      <w:pPr>
        <w:jc w:val="both"/>
        <w:spacing w:before="0" w:after="0" w:line="360" w:lineRule="auto"/>
        <w:ind w:left="720" w:hanging="720"/>
      </w:pPr>
      <w:r>
        <w:rPr>
          <w:rFonts w:ascii="Times New Roman" w:hAnsi="Times New Roman" w:cs="Times New Roman"/>
          <w:sz w:val="24"/>
          <w:szCs w:val="24"/>
        </w:rPr>
        <w:t xml:space="preserve">Chu, M.-L., Terhorst, L., Reed, K., Ni, T., Chen, W., &amp; Lin, R. (2025). LLM-based multi-agent system for simulating and analyzing marketing and consumer behavior. Dalam </w:t>
      </w:r>
      <w:r>
        <w:rPr>
          <w:rFonts w:ascii="Times New Roman" w:hAnsi="Times New Roman" w:cs="Times New Roman"/>
          <w:i/>
          <w:sz w:val="24"/>
          <w:szCs w:val="24"/>
        </w:rPr>
        <w:t xml:space="preserve">2025 IEEE International Conference on e-Business Engineering (ICEBE)</w:t>
      </w:r>
      <w:r>
        <w:rPr>
          <w:rFonts w:ascii="Times New Roman" w:hAnsi="Times New Roman" w:cs="Times New Roman"/>
          <w:sz w:val="24"/>
          <w:szCs w:val="24"/>
        </w:rPr>
        <w:t xml:space="preserve">. https://arxiv.org/abs/2510.18155</w:t>
      </w:r>
    </w:p>
    <w:p>
      <w:pPr>
        <w:jc w:val="both"/>
        <w:spacing w:before="0" w:after="0" w:line="360" w:lineRule="auto"/>
        <w:ind w:left="720" w:hanging="720"/>
      </w:pPr>
      <w:r>
        <w:rPr>
          <w:rFonts w:ascii="Times New Roman" w:hAnsi="Times New Roman" w:cs="Times New Roman"/>
          <w:sz w:val="24"/>
          <w:szCs w:val="24"/>
        </w:rPr>
        <w:t xml:space="preserve">Djaini, A., Permana, R. M., &amp; Mahmudin, T. (2025). Analisis strategi adaptif UMKM terhadap integrasi teknologi ChatGPT sebagai instrumen peningkatan daya saing berkelanjutan dan akselerasi inovasi bisnis di era transformasi digital. </w:t>
      </w:r>
      <w:r>
        <w:rPr>
          <w:rFonts w:ascii="Times New Roman" w:hAnsi="Times New Roman" w:cs="Times New Roman"/>
          <w:i/>
          <w:sz w:val="24"/>
          <w:szCs w:val="24"/>
        </w:rPr>
        <w:t xml:space="preserve">Jurnal Minfo Polgan, 14</w:t>
      </w:r>
      <w:r>
        <w:rPr>
          <w:rFonts w:ascii="Times New Roman" w:hAnsi="Times New Roman" w:cs="Times New Roman"/>
          <w:sz w:val="24"/>
          <w:szCs w:val="24"/>
        </w:rPr>
        <w:t xml:space="preserve">(1), 1015-1024. https://doi.org/10.33395/jmp.v14i1.14959</w:t>
      </w:r>
    </w:p>
    <w:p>
      <w:pPr>
        <w:jc w:val="both"/>
        <w:spacing w:before="0" w:after="0" w:line="360" w:lineRule="auto"/>
        <w:ind w:left="720" w:hanging="720"/>
      </w:pPr>
      <w:r>
        <w:rPr>
          <w:rFonts w:ascii="Times New Roman" w:hAnsi="Times New Roman" w:cs="Times New Roman"/>
          <w:sz w:val="24"/>
          <w:szCs w:val="24"/>
        </w:rPr>
        <w:t xml:space="preserve">Hanum, R., Fachrudin, D. H., &amp; Rohyana, C. (2026). Rancang bangun sistem informasi UMKM berbasis web untuk promosi digital menggunakan metode rapid application development (RAD). </w:t>
      </w:r>
      <w:r>
        <w:rPr>
          <w:rFonts w:ascii="Times New Roman" w:hAnsi="Times New Roman" w:cs="Times New Roman"/>
          <w:i/>
          <w:sz w:val="24"/>
          <w:szCs w:val="24"/>
        </w:rPr>
        <w:t xml:space="preserve">MALCOM: Indonesian Journal of Machine Learning and Computer Science, 6</w:t>
      </w:r>
      <w:r>
        <w:rPr>
          <w:rFonts w:ascii="Times New Roman" w:hAnsi="Times New Roman" w:cs="Times New Roman"/>
          <w:sz w:val="24"/>
          <w:szCs w:val="24"/>
        </w:rPr>
        <w:t xml:space="preserve">(1), 314-323. https://doi.org/10.57152/malcom.v6i1.2421</w:t>
      </w:r>
    </w:p>
    <w:p>
      <w:pPr>
        <w:jc w:val="both"/>
        <w:spacing w:before="0" w:after="0" w:line="360" w:lineRule="auto"/>
        <w:ind w:left="720" w:hanging="720"/>
      </w:pPr>
      <w:r>
        <w:rPr>
          <w:rFonts w:ascii="Times New Roman" w:hAnsi="Times New Roman" w:cs="Times New Roman"/>
          <w:sz w:val="24"/>
          <w:szCs w:val="24"/>
        </w:rPr>
        <w:t xml:space="preserve">Hashemi, H., Eisner, J., Rosset, C., Van Durme, B., &amp; Kedzie, C. (2024). LLM-Rubric: A multidimensional, calibrated approach to automated evaluation of natural language texts. Dalam </w:t>
      </w:r>
      <w:r>
        <w:rPr>
          <w:rFonts w:ascii="Times New Roman" w:hAnsi="Times New Roman" w:cs="Times New Roman"/>
          <w:i/>
          <w:sz w:val="24"/>
          <w:szCs w:val="24"/>
        </w:rPr>
        <w:t xml:space="preserve">Proceedings of the 62nd Annual Meeting of the Association for Computational Linguistics (Volume 1: Long Papers)</w:t>
      </w:r>
      <w:r>
        <w:rPr>
          <w:rFonts w:ascii="Times New Roman" w:hAnsi="Times New Roman" w:cs="Times New Roman"/>
          <w:sz w:val="24"/>
          <w:szCs w:val="24"/>
        </w:rPr>
        <w:t xml:space="preserve"> (hlm. 13806-13834). https://arxiv.org/abs/2501.00274</w:t>
      </w:r>
    </w:p>
    <w:p>
      <w:pPr>
        <w:jc w:val="both"/>
        <w:spacing w:before="0" w:after="0" w:line="360" w:lineRule="auto"/>
        <w:ind w:left="720" w:hanging="720"/>
      </w:pPr>
      <w:r>
        <w:rPr>
          <w:rFonts w:ascii="Times New Roman" w:hAnsi="Times New Roman" w:cs="Times New Roman"/>
          <w:sz w:val="24"/>
          <w:szCs w:val="24"/>
        </w:rPr>
        <w:t xml:space="preserve">Kirkby, A., Baumgarth, C., &amp; Henseler, J. (2023). To disclose or not disclose, is no longer the question: Effect of AI-disclosed brand voice on brand authenticity and attitude. </w:t>
      </w:r>
      <w:r>
        <w:rPr>
          <w:rFonts w:ascii="Times New Roman" w:hAnsi="Times New Roman" w:cs="Times New Roman"/>
          <w:i/>
          <w:sz w:val="24"/>
          <w:szCs w:val="24"/>
        </w:rPr>
        <w:t xml:space="preserve">Journal of Product &amp; Brand Management, 32</w:t>
      </w:r>
      <w:r>
        <w:rPr>
          <w:rFonts w:ascii="Times New Roman" w:hAnsi="Times New Roman" w:cs="Times New Roman"/>
          <w:sz w:val="24"/>
          <w:szCs w:val="24"/>
        </w:rPr>
        <w:t xml:space="preserve">(7), 1108-1122. https://doi.org/10.1108/JPBM-02-2022-3864</w:t>
      </w:r>
    </w:p>
    <w:p>
      <w:pPr>
        <w:jc w:val="both"/>
        <w:spacing w:before="0" w:after="0" w:line="360" w:lineRule="auto"/>
        <w:ind w:left="720" w:hanging="720"/>
      </w:pPr>
      <w:r>
        <w:rPr>
          <w:rFonts w:ascii="Times New Roman" w:hAnsi="Times New Roman" w:cs="Times New Roman"/>
          <w:sz w:val="24"/>
          <w:szCs w:val="24"/>
        </w:rPr>
        <w:t xml:space="preserve">Lin, Y.-C., Chen, K.-C., Li, Z.-Y., Wu, T.-H., Wu, T.-H., Chen, K.-Y., Lee, H., &amp; Chen, Y.-N. (2025). Creativity in LLM-based multi-agent systems: A survey.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https://arxiv.org/abs/2505.21116</w:t>
      </w:r>
    </w:p>
    <w:p>
      <w:pPr>
        <w:jc w:val="both"/>
        <w:spacing w:before="0" w:after="0" w:line="360" w:lineRule="auto"/>
        <w:ind w:left="720" w:hanging="720"/>
      </w:pPr>
      <w:r>
        <w:rPr>
          <w:rFonts w:ascii="Times New Roman" w:hAnsi="Times New Roman" w:cs="Times New Roman"/>
          <w:sz w:val="24"/>
          <w:szCs w:val="24"/>
        </w:rPr>
        <w:t xml:space="preserve">Nugroho, I. F., Wahyono, A., &amp; Setiawati, D. (2024). Rancang bangun sistem informasi pusat data berbasis website menggunakan metode prototype. </w:t>
      </w:r>
      <w:r>
        <w:rPr>
          <w:rFonts w:ascii="Times New Roman" w:hAnsi="Times New Roman" w:cs="Times New Roman"/>
          <w:i/>
          <w:sz w:val="24"/>
          <w:szCs w:val="24"/>
        </w:rPr>
        <w:t xml:space="preserve">Explore: Jurnal Sistem Informasi dan Telematika, 15</w:t>
      </w:r>
      <w:r>
        <w:rPr>
          <w:rFonts w:ascii="Times New Roman" w:hAnsi="Times New Roman" w:cs="Times New Roman"/>
          <w:sz w:val="24"/>
          <w:szCs w:val="24"/>
        </w:rPr>
        <w:t xml:space="preserve">(2). https://doi.org/10.36448/jsit.v15i2.3788</w:t>
      </w:r>
    </w:p>
    <w:p>
      <w:pPr>
        <w:jc w:val="both"/>
        <w:spacing w:before="0" w:after="0" w:line="360" w:lineRule="auto"/>
        <w:ind w:left="720" w:hanging="720"/>
      </w:pPr>
      <w:r>
        <w:rPr>
          <w:rFonts w:ascii="Times New Roman" w:hAnsi="Times New Roman" w:cs="Times New Roman"/>
          <w:sz w:val="24"/>
          <w:szCs w:val="24"/>
        </w:rPr>
        <w:t xml:space="preserve">Pawana, I. G. N. A., Jayantari, M. W., &amp; Nugraha, M. D. (2024). Rancang bangun sistem informasi pengelolaan surat berbasis web di Fakultas Vokasi Universitas Warmadewa. </w:t>
      </w:r>
      <w:r>
        <w:rPr>
          <w:rFonts w:ascii="Times New Roman" w:hAnsi="Times New Roman" w:cs="Times New Roman"/>
          <w:i/>
          <w:sz w:val="24"/>
          <w:szCs w:val="24"/>
        </w:rPr>
        <w:t xml:space="preserve">Jurnal Ilmiah Telsinas Elektro, Sipil dan Teknik Informasi, 7</w:t>
      </w:r>
      <w:r>
        <w:rPr>
          <w:rFonts w:ascii="Times New Roman" w:hAnsi="Times New Roman" w:cs="Times New Roman"/>
          <w:sz w:val="24"/>
          <w:szCs w:val="24"/>
        </w:rPr>
        <w:t xml:space="preserve">(2), 128-144. https://doi.org/10.38043/telsinas.v7i2.5486</w:t>
      </w:r>
    </w:p>
    <w:p>
      <w:pPr>
        <w:jc w:val="both"/>
        <w:spacing w:before="0" w:after="0" w:line="360" w:lineRule="auto"/>
        <w:ind w:left="720" w:hanging="720"/>
      </w:pPr>
      <w:r>
        <w:rPr>
          <w:rFonts w:ascii="Times New Roman" w:hAnsi="Times New Roman" w:cs="Times New Roman"/>
          <w:sz w:val="24"/>
          <w:szCs w:val="24"/>
        </w:rPr>
        <w:t xml:space="preserve">Priyono, P., Alam, N., Arfian, A., Bastari, J., &amp; Lubis, B. O. (2025). Penerapan metode prototype pada pengembangan sistem informasi penjualan jasa instalasi internet. </w:t>
      </w:r>
      <w:r>
        <w:rPr>
          <w:rFonts w:ascii="Times New Roman" w:hAnsi="Times New Roman" w:cs="Times New Roman"/>
          <w:i/>
          <w:sz w:val="24"/>
          <w:szCs w:val="24"/>
        </w:rPr>
        <w:t xml:space="preserve">Buletin Sistem Informasi dan Teknologi Islam, 6</w:t>
      </w:r>
      <w:r>
        <w:rPr>
          <w:rFonts w:ascii="Times New Roman" w:hAnsi="Times New Roman" w:cs="Times New Roman"/>
          <w:sz w:val="24"/>
          <w:szCs w:val="24"/>
        </w:rPr>
        <w:t xml:space="preserve">(4). https://doi.org/10.33096/busiti.v6i4.3172</w:t>
      </w:r>
    </w:p>
    <w:p>
      <w:pPr>
        <w:jc w:val="both"/>
        <w:spacing w:before="0" w:after="0" w:line="360" w:lineRule="auto"/>
        <w:ind w:left="720" w:hanging="720"/>
      </w:pPr>
      <w:r>
        <w:rPr>
          <w:rFonts w:ascii="Times New Roman" w:hAnsi="Times New Roman" w:cs="Times New Roman"/>
          <w:sz w:val="24"/>
          <w:szCs w:val="24"/>
        </w:rPr>
        <w:t xml:space="preserve">Purpura, A., Chen, E., &amp; Shinde, S. (2025). A multi-stage workflow for the review of marketing content with reasoning large language models.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https://arxiv.org/abs/2601.06054</w:t>
      </w:r>
    </w:p>
    <w:p>
      <w:pPr>
        <w:jc w:val="both"/>
        <w:spacing w:before="0" w:after="0" w:line="360" w:lineRule="auto"/>
        <w:ind w:left="720" w:hanging="720"/>
      </w:pPr>
      <w:r>
        <w:rPr>
          <w:rFonts w:ascii="Times New Roman" w:hAnsi="Times New Roman" w:cs="Times New Roman"/>
          <w:sz w:val="24"/>
          <w:szCs w:val="24"/>
        </w:rPr>
        <w:t xml:space="preserve">Rahman, F., Choirunnisa, Z., &amp; Putra, Y. A. N. S. (2025). Penggunaan large language models (LLM) dalam penulisan artikel berita: Sebuah analisis deskriptif berbasis literature review. </w:t>
      </w:r>
      <w:r>
        <w:rPr>
          <w:rFonts w:ascii="Times New Roman" w:hAnsi="Times New Roman" w:cs="Times New Roman"/>
          <w:i/>
          <w:sz w:val="24"/>
          <w:szCs w:val="24"/>
        </w:rPr>
        <w:t xml:space="preserve">Promedia: Public Relation dan Media Komunikasi, 11</w:t>
      </w:r>
      <w:r>
        <w:rPr>
          <w:rFonts w:ascii="Times New Roman" w:hAnsi="Times New Roman" w:cs="Times New Roman"/>
          <w:sz w:val="24"/>
          <w:szCs w:val="24"/>
        </w:rPr>
        <w:t xml:space="preserve">(2), 370-391.</w:t>
      </w:r>
    </w:p>
    <w:p>
      <w:pPr>
        <w:jc w:val="both"/>
        <w:spacing w:before="0" w:after="0" w:line="360" w:lineRule="auto"/>
        <w:ind w:left="720" w:hanging="720"/>
      </w:pPr>
      <w:r>
        <w:rPr>
          <w:rFonts w:ascii="Times New Roman" w:hAnsi="Times New Roman" w:cs="Times New Roman"/>
          <w:sz w:val="24"/>
          <w:szCs w:val="24"/>
        </w:rPr>
        <w:t xml:space="preserve">Rasim, R., Mugiarso, M., Handayani, D., &amp; Lubis, H. (2025). Rancang bangun sistem informasi monitoring dan analisis kinerja penjualan menggunakan metode rapid application development (RAD). </w:t>
      </w:r>
      <w:r>
        <w:rPr>
          <w:rFonts w:ascii="Times New Roman" w:hAnsi="Times New Roman" w:cs="Times New Roman"/>
          <w:i/>
          <w:sz w:val="24"/>
          <w:szCs w:val="24"/>
        </w:rPr>
        <w:t xml:space="preserve">Journal of Information System, Informatics and Computing, 9</w:t>
      </w:r>
      <w:r>
        <w:rPr>
          <w:rFonts w:ascii="Times New Roman" w:hAnsi="Times New Roman" w:cs="Times New Roman"/>
          <w:sz w:val="24"/>
          <w:szCs w:val="24"/>
        </w:rPr>
        <w:t xml:space="preserve">(2), 266-274. https://doi.org/10.52362/jisicom.v9i2.2078</w:t>
      </w:r>
    </w:p>
    <w:p>
      <w:pPr>
        <w:jc w:val="both"/>
        <w:spacing w:before="0" w:after="0" w:line="360" w:lineRule="auto"/>
        <w:ind w:left="720" w:hanging="720"/>
      </w:pPr>
      <w:r>
        <w:rPr>
          <w:rFonts w:ascii="Times New Roman" w:hAnsi="Times New Roman" w:cs="Times New Roman"/>
          <w:sz w:val="24"/>
          <w:szCs w:val="24"/>
        </w:rPr>
        <w:t xml:space="preserve">Tran, K.-T., Dao, D., Nguyen, M.-D., Pham, Q.-V., O'Sullivan, B., &amp; Nguyen, H. D. (2025). Multi-agent collaboration mechanisms: A survey of LLMs.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https://arxiv.org/abs/2501.06322</w:t>
      </w:r>
    </w:p>
    <w:p>
      <w:pPr>
        <w:jc w:val="both"/>
        <w:spacing w:before="0" w:after="0" w:line="360" w:lineRule="auto"/>
        <w:ind w:left="720" w:hanging="720"/>
      </w:pPr>
      <w:r>
        <w:rPr>
          <w:rFonts w:ascii="Times New Roman" w:hAnsi="Times New Roman" w:cs="Times New Roman"/>
          <w:sz w:val="24"/>
          <w:szCs w:val="24"/>
        </w:rPr>
        <w:t xml:space="preserve">Truong, K. L., Fogliato, R., Heidari, H., &amp; Wu, Z. S. (2025). Persona-augmented benchmarking: Evaluating LLMs across diverse writing styles.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https://arxiv.org/abs/2507.22168</w:t>
      </w:r>
    </w:p>
    <w:p>
      <w:pPr>
        <w:jc w:val="both"/>
        <w:spacing w:before="0" w:after="0" w:line="360" w:lineRule="auto"/>
        <w:ind w:left="720" w:hanging="720"/>
      </w:pPr>
      <w:r>
        <w:rPr>
          <w:rFonts w:ascii="Times New Roman" w:hAnsi="Times New Roman" w:cs="Times New Roman"/>
          <w:sz w:val="24"/>
          <w:szCs w:val="24"/>
        </w:rPr>
        <w:t xml:space="preserve">Wang, Z., Tripto, N. I., Park, S., Li, Z., &amp; Zhou, J. (2025). Catch me if you can? Not yet: LLMs still struggle to imitate the implicit writing styles of everyday authors. Dalam </w:t>
      </w:r>
      <w:r>
        <w:rPr>
          <w:rFonts w:ascii="Times New Roman" w:hAnsi="Times New Roman" w:cs="Times New Roman"/>
          <w:i/>
          <w:sz w:val="24"/>
          <w:szCs w:val="24"/>
        </w:rPr>
        <w:t xml:space="preserve">Findings of the 2025 Conference on Empirical Methods in Natural Language Processing</w:t>
      </w:r>
      <w:r>
        <w:rPr>
          <w:rFonts w:ascii="Times New Roman" w:hAnsi="Times New Roman" w:cs="Times New Roman"/>
          <w:sz w:val="24"/>
          <w:szCs w:val="24"/>
        </w:rPr>
        <w:t xml:space="preserve">. https://arxiv.org/abs/2509.14543</w:t>
      </w:r>
    </w:p>
    <w:p>
      <w:pPr>
        <w:jc w:val="both"/>
        <w:spacing w:before="0" w:after="0" w:line="360" w:lineRule="auto"/>
        <w:ind w:left="720" w:hanging="720"/>
      </w:pPr>
      <w:r>
        <w:rPr>
          <w:rFonts w:ascii="Times New Roman" w:hAnsi="Times New Roman" w:cs="Times New Roman"/>
          <w:sz w:val="24"/>
          <w:szCs w:val="24"/>
        </w:rPr>
        <w:t xml:space="preserve">Yan, B., Zhou, Z., Zhang, L., Zhang, L., Zhou, Z., Miao, D., Li, Z., Li, C., &amp; Zhang, X. (2025). Beyond self-talk: A communication-centric survey of LLM-based multi-agent systems. </w:t>
      </w:r>
      <w:r>
        <w:rPr>
          <w:rFonts w:ascii="Times New Roman" w:hAnsi="Times New Roman" w:cs="Times New Roman"/>
          <w:i/>
          <w:sz w:val="24"/>
          <w:szCs w:val="24"/>
        </w:rPr>
        <w:t xml:space="preserve">Frontiers of Computer Science</w:t>
      </w:r>
      <w:r>
        <w:rPr>
          <w:rFonts w:ascii="Times New Roman" w:hAnsi="Times New Roman" w:cs="Times New Roman"/>
          <w:sz w:val="24"/>
          <w:szCs w:val="24"/>
        </w:rPr>
        <w:t xml:space="preserve">. https://arxiv.org/abs/2502.14321</w:t>
      </w:r>
    </w:p>
    <w:p>
      <w:pPr>
        <w:jc w:val="both"/>
        <w:spacing w:before="0" w:after="0" w:line="360" w:lineRule="auto"/>
        <w:ind w:left="720" w:hanging="720"/>
      </w:pPr>
      <w:r>
        <w:rPr>
          <w:rFonts w:ascii="Times New Roman" w:hAnsi="Times New Roman" w:cs="Times New Roman"/>
          <w:sz w:val="24"/>
          <w:szCs w:val="24"/>
        </w:rPr>
        <w:t xml:space="preserve">Yunus, A., Jundillah, M. L., Widagdo, P. P., &amp; Masa, A. P. A. (2025). Penerapan metode rapid application development (RAD) pada rancang bangun sistem informasi barang hilang dan temuan berbasis website di Universitas Mulawarman. </w:t>
      </w:r>
      <w:r>
        <w:rPr>
          <w:rFonts w:ascii="Times New Roman" w:hAnsi="Times New Roman" w:cs="Times New Roman"/>
          <w:i/>
          <w:sz w:val="24"/>
          <w:szCs w:val="24"/>
        </w:rPr>
        <w:t xml:space="preserve">Adopsi Teknologi dan Sistem Informasi (ATASI), 4</w:t>
      </w:r>
      <w:r>
        <w:rPr>
          <w:rFonts w:ascii="Times New Roman" w:hAnsi="Times New Roman" w:cs="Times New Roman"/>
          <w:sz w:val="24"/>
          <w:szCs w:val="24"/>
        </w:rPr>
        <w:t xml:space="preserve">(2), 172-182. https://doi.org/10.30872/atasi.v4i2.3031</w:t>
      </w:r>
    </w:p>
    <w:p>
      <w:pPr>
        <w:jc w:val="both"/>
        <w:spacing w:before="0" w:after="0" w:line="360" w:lineRule="auto"/>
        <w:ind w:left="720" w:hanging="720"/>
      </w:pPr>
      <w:r>
        <w:rPr>
          <w:rFonts w:ascii="Times New Roman" w:hAnsi="Times New Roman" w:cs="Times New Roman"/>
          <w:sz w:val="24"/>
          <w:szCs w:val="24"/>
        </w:rPr>
        <w:t xml:space="preserve">Yusna, Putra, I. G. J. E., &amp; Purnama, I. N. (2025). Rancang bangun sistem informasi manajemen proyek berbasis web pada Apada Studio menggunakan metode waterfall. </w:t>
      </w:r>
      <w:r>
        <w:rPr>
          <w:rFonts w:ascii="Times New Roman" w:hAnsi="Times New Roman" w:cs="Times New Roman"/>
          <w:i/>
          <w:sz w:val="24"/>
          <w:szCs w:val="24"/>
        </w:rPr>
        <w:t xml:space="preserve">Jurnal Sistem Informasi dan Bisnis Cerdas, 18</w:t>
      </w:r>
      <w:r>
        <w:rPr>
          <w:rFonts w:ascii="Times New Roman" w:hAnsi="Times New Roman" w:cs="Times New Roman"/>
          <w:sz w:val="24"/>
          <w:szCs w:val="24"/>
        </w:rPr>
        <w:t xml:space="preserve">(2), 208-220. https://doi.org/10.33005/sibc.v18i2.664</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