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atau pemasaran. Dari penelusuran tersebut diperoleh enam penelitian yang relevan sebagaimana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Tran dkk. (2025)</w:t>
            </w:r>
          </w:p>
        </w:tc>
        <w:tc>
          <w:tcPr>
            <w:tcW w:w="2268" w:type="dxa"/>
          </w:tcPr>
          <w:p>
            <w:pPr>
              <w:jc w:val="left"/>
              <w:spacing w:before="0" w:after="0" w:line="240" w:lineRule="auto"/>
            </w:pPr>
            <w:r>
              <w:rPr>
                <w:rFonts w:ascii="Times New Roman" w:hAnsi="Times New Roman" w:cs="Times New Roman"/>
                <w:sz w:val="24"/>
                <w:szCs w:val="24"/>
              </w:rPr>
              <w:t xml:space="preserve">Multi-Agent Collaboration Mechanisms: A Survey of LLMs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dimensi kolaborasi antar-agen: aktor, jenis interaksi, struktur, strategi, dan protokol koordinasi</w:t>
            </w:r>
          </w:p>
        </w:tc>
        <w:tc>
          <w:tcPr>
            <w:tcW w:w="1134" w:type="dxa"/>
          </w:tcPr>
          <w:p>
            <w:pPr>
              <w:jc w:val="left"/>
              <w:spacing w:before="0" w:after="0" w:line="240" w:lineRule="auto"/>
            </w:pPr>
            <w:r>
              <w:rPr>
                <w:rFonts w:ascii="Times New Roman" w:hAnsi="Times New Roman" w:cs="Times New Roman"/>
                <w:sz w:val="24"/>
                <w:szCs w:val="24"/>
              </w:rPr>
              <w:t xml:space="preserve">Bersifat konseptual dan tidak membangun sistem pada kasus bisnis nyata</w:t>
            </w:r>
          </w:p>
        </w:tc>
      </w:tr>
      <w:tr>
        <w:tc>
          <w:tcPr>
            <w:tcW w:w="1417" w:type="dxa"/>
          </w:tcPr>
          <w:p>
            <w:pPr>
              <w:jc w:val="left"/>
              <w:spacing w:before="0" w:after="0" w:line="240" w:lineRule="auto"/>
            </w:pPr>
            <w:r>
              <w:rPr>
                <w:rFonts w:ascii="Times New Roman" w:hAnsi="Times New Roman" w:cs="Times New Roman"/>
                <w:sz w:val="24"/>
                <w:szCs w:val="24"/>
              </w:rPr>
              <w:t xml:space="preserve">Lin dkk. (2025)</w:t>
            </w:r>
          </w:p>
        </w:tc>
        <w:tc>
          <w:tcPr>
            <w:tcW w:w="2268" w:type="dxa"/>
          </w:tcPr>
          <w:p>
            <w:pPr>
              <w:jc w:val="left"/>
              <w:spacing w:before="0" w:after="0" w:line="240" w:lineRule="auto"/>
            </w:pPr>
            <w:r>
              <w:rPr>
                <w:rFonts w:ascii="Times New Roman" w:hAnsi="Times New Roman" w:cs="Times New Roman"/>
                <w:sz w:val="24"/>
                <w:szCs w:val="24"/>
              </w:rPr>
              <w:t xml:space="preserve">Creativity in LLM-based Multi-Agent Systems: A Survey</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taksonomi proaktivitas agen dan desain persona serta teknik penghasilan luaran kreatif</w:t>
            </w:r>
          </w:p>
        </w:tc>
        <w:tc>
          <w:tcPr>
            <w:tcW w:w="1134" w:type="dxa"/>
          </w:tcPr>
          <w:p>
            <w:pPr>
              <w:jc w:val="left"/>
              <w:spacing w:before="0" w:after="0" w:line="240" w:lineRule="auto"/>
            </w:pPr>
            <w:r>
              <w:rPr>
                <w:rFonts w:ascii="Times New Roman" w:hAnsi="Times New Roman" w:cs="Times New Roman"/>
                <w:sz w:val="24"/>
                <w:szCs w:val="24"/>
              </w:rPr>
              <w:t xml:space="preserve">Fokus pada kreativitas luaran, tidak mengukur konsistensi identitas merek</w:t>
            </w:r>
          </w:p>
        </w:tc>
      </w:tr>
      <w:tr>
        <w:tc>
          <w:tcPr>
            <w:tcW w:w="1417" w:type="dxa"/>
          </w:tcPr>
          <w:p>
            <w:pPr>
              <w:jc w:val="left"/>
              <w:spacing w:before="0" w:after="0" w:line="240" w:lineRule="auto"/>
            </w:pPr>
            <w:r>
              <w:rPr>
                <w:rFonts w:ascii="Times New Roman" w:hAnsi="Times New Roman" w:cs="Times New Roman"/>
                <w:sz w:val="24"/>
                <w:szCs w:val="24"/>
              </w:rPr>
              <w:t xml:space="preserve">Chu dkk. (2025)</w:t>
            </w:r>
          </w:p>
        </w:tc>
        <w:tc>
          <w:tcPr>
            <w:tcW w:w="2268" w:type="dxa"/>
          </w:tcPr>
          <w:p>
            <w:pPr>
              <w:jc w:val="left"/>
              <w:spacing w:before="0" w:after="0" w:line="240" w:lineRule="auto"/>
            </w:pPr>
            <w:r>
              <w:rPr>
                <w:rFonts w:ascii="Times New Roman" w:hAnsi="Times New Roman" w:cs="Times New Roman"/>
                <w:sz w:val="24"/>
                <w:szCs w:val="24"/>
              </w:rPr>
              <w:t xml:space="preserve">LLM-Based Multi-Agent System for Simulating and Analyzing Marketing and Consumer Behavior</w:t>
            </w:r>
          </w:p>
        </w:tc>
        <w:tc>
          <w:tcPr>
            <w:tcW w:w="1417" w:type="dxa"/>
          </w:tcPr>
          <w:p>
            <w:pPr>
              <w:jc w:val="left"/>
              <w:spacing w:before="0" w:after="0" w:line="240" w:lineRule="auto"/>
            </w:pPr>
            <w:r>
              <w:rPr>
                <w:rFonts w:ascii="Times New Roman" w:hAnsi="Times New Roman" w:cs="Times New Roman"/>
                <w:sz w:val="24"/>
                <w:szCs w:val="24"/>
              </w:rPr>
              <w:t xml:space="preserve">Simulasi berbasis agen</w:t>
            </w:r>
          </w:p>
        </w:tc>
        <w:tc>
          <w:tcPr>
            <w:tcW w:w="1701" w:type="dxa"/>
          </w:tcPr>
          <w:p>
            <w:pPr>
              <w:jc w:val="left"/>
              <w:spacing w:before="0" w:after="0" w:line="240" w:lineRule="auto"/>
            </w:pPr>
            <w:r>
              <w:rPr>
                <w:rFonts w:ascii="Times New Roman" w:hAnsi="Times New Roman" w:cs="Times New Roman"/>
                <w:sz w:val="24"/>
                <w:szCs w:val="24"/>
              </w:rPr>
              <w:t xml:space="preserve">Agen generatif mampu berinteraksi dan mengambil keputusan pembelian untuk menguji strategi pemasaran</w:t>
            </w:r>
          </w:p>
        </w:tc>
        <w:tc>
          <w:tcPr>
            <w:tcW w:w="1134" w:type="dxa"/>
          </w:tcPr>
          <w:p>
            <w:pPr>
              <w:jc w:val="left"/>
              <w:spacing w:before="0" w:after="0" w:line="240" w:lineRule="auto"/>
            </w:pPr>
            <w:r>
              <w:rPr>
                <w:rFonts w:ascii="Times New Roman" w:hAnsi="Times New Roman" w:cs="Times New Roman"/>
                <w:sz w:val="24"/>
                <w:szCs w:val="24"/>
              </w:rPr>
              <w:t xml:space="preserve">Mensimulasikan perilaku konsumen, bukan memproduksi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Aghaei dkk. (2025)</w:t>
            </w:r>
          </w:p>
        </w:tc>
        <w:tc>
          <w:tcPr>
            <w:tcW w:w="2268" w:type="dxa"/>
          </w:tcPr>
          <w:p>
            <w:pPr>
              <w:jc w:val="left"/>
              <w:spacing w:before="0" w:after="0" w:line="240" w:lineRule="auto"/>
            </w:pPr>
            <w:r>
              <w:rPr>
                <w:rFonts w:ascii="Times New Roman" w:hAnsi="Times New Roman" w:cs="Times New Roman"/>
                <w:sz w:val="24"/>
                <w:szCs w:val="24"/>
              </w:rPr>
              <w:t xml:space="preserve">Harnessing the Potential of Large Language Models in Modern Marketing Management</w:t>
            </w:r>
          </w:p>
        </w:tc>
        <w:tc>
          <w:tcPr>
            <w:tcW w:w="1417" w:type="dxa"/>
          </w:tcPr>
          <w:p>
            <w:pPr>
              <w:jc w:val="left"/>
              <w:spacing w:before="0" w:after="0" w:line="240" w:lineRule="auto"/>
            </w:pPr>
            <w:r>
              <w:rPr>
                <w:rFonts w:ascii="Times New Roman" w:hAnsi="Times New Roman" w:cs="Times New Roman"/>
                <w:sz w:val="24"/>
                <w:szCs w:val="24"/>
              </w:rPr>
              <w:t xml:space="preserve">Kajian konseptual</w:t>
            </w:r>
          </w:p>
        </w:tc>
        <w:tc>
          <w:tcPr>
            <w:tcW w:w="1701" w:type="dxa"/>
          </w:tcPr>
          <w:p>
            <w:pPr>
              <w:jc w:val="left"/>
              <w:spacing w:before="0" w:after="0" w:line="240" w:lineRule="auto"/>
            </w:pPr>
            <w:r>
              <w:rPr>
                <w:rFonts w:ascii="Times New Roman" w:hAnsi="Times New Roman" w:cs="Times New Roman"/>
                <w:sz w:val="24"/>
                <w:szCs w:val="24"/>
              </w:rPr>
              <w:t xml:space="preserve">Memetakan penerapan model bahasa besar pada keterlibatan pelanggan, optimasi kampanye, dan penghasilan konten</w:t>
            </w:r>
          </w:p>
        </w:tc>
        <w:tc>
          <w:tcPr>
            <w:tcW w:w="1134" w:type="dxa"/>
          </w:tcPr>
          <w:p>
            <w:pPr>
              <w:jc w:val="left"/>
              <w:spacing w:before="0" w:after="0" w:line="240" w:lineRule="auto"/>
            </w:pPr>
            <w:r>
              <w:rPr>
                <w:rFonts w:ascii="Times New Roman" w:hAnsi="Times New Roman" w:cs="Times New Roman"/>
                <w:sz w:val="24"/>
                <w:szCs w:val="24"/>
              </w:rPr>
              <w:t xml:space="preserve">Tidak membangun maupun menguji sistem, dan tidak mengukur efisiensi</w:t>
            </w:r>
          </w:p>
        </w:tc>
      </w:tr>
      <w:tr>
        <w:tc>
          <w:tcPr>
            <w:tcW w:w="1417" w:type="dxa"/>
          </w:tcPr>
          <w:p>
            <w:pPr>
              <w:jc w:val="left"/>
              <w:spacing w:before="0" w:after="0" w:line="240" w:lineRule="auto"/>
            </w:pPr>
            <w:r>
              <w:rPr>
                <w:rFonts w:ascii="Times New Roman" w:hAnsi="Times New Roman" w:cs="Times New Roman"/>
                <w:sz w:val="24"/>
                <w:szCs w:val="24"/>
              </w:rPr>
              <w:t xml:space="preserve">Rahman dkk. (2025)</w:t>
            </w:r>
          </w:p>
        </w:tc>
        <w:tc>
          <w:tcPr>
            <w:tcW w:w="2268" w:type="dxa"/>
          </w:tcPr>
          <w:p>
            <w:pPr>
              <w:jc w:val="left"/>
              <w:spacing w:before="0" w:after="0" w:line="240" w:lineRule="auto"/>
            </w:pPr>
            <w:r>
              <w:rPr>
                <w:rFonts w:ascii="Times New Roman" w:hAnsi="Times New Roman" w:cs="Times New Roman"/>
                <w:sz w:val="24"/>
                <w:szCs w:val="24"/>
              </w:rPr>
              <w:t xml:space="preserve">Penggunaan Large Language Models dalam Penulisan Artikel Berita</w:t>
            </w:r>
          </w:p>
        </w:tc>
        <w:tc>
          <w:tcPr>
            <w:tcW w:w="1417" w:type="dxa"/>
          </w:tcPr>
          <w:p>
            <w:pPr>
              <w:jc w:val="left"/>
              <w:spacing w:before="0" w:after="0" w:line="240" w:lineRule="auto"/>
            </w:pPr>
            <w:r>
              <w:rPr>
                <w:rFonts w:ascii="Times New Roman" w:hAnsi="Times New Roman" w:cs="Times New Roman"/>
                <w:sz w:val="24"/>
                <w:szCs w:val="24"/>
              </w:rPr>
              <w:t xml:space="preserve">Systematic Literature Review dengan protokol PRISMA</w:t>
            </w:r>
          </w:p>
        </w:tc>
        <w:tc>
          <w:tcPr>
            <w:tcW w:w="1701" w:type="dxa"/>
          </w:tcPr>
          <w:p>
            <w:pPr>
              <w:jc w:val="left"/>
              <w:spacing w:before="0" w:after="0" w:line="240" w:lineRule="auto"/>
            </w:pPr>
            <w:r>
              <w:rPr>
                <w:rFonts w:ascii="Times New Roman" w:hAnsi="Times New Roman" w:cs="Times New Roman"/>
                <w:sz w:val="24"/>
                <w:szCs w:val="24"/>
              </w:rPr>
              <w:t xml:space="preserve">Menemukan risiko halusinasi dan bias algoritmik, serta perlunya keseimbangan peran manusia dan mesin</w:t>
            </w:r>
          </w:p>
        </w:tc>
        <w:tc>
          <w:tcPr>
            <w:tcW w:w="1134" w:type="dxa"/>
          </w:tcPr>
          <w:p>
            <w:pPr>
              <w:jc w:val="left"/>
              <w:spacing w:before="0" w:after="0" w:line="240" w:lineRule="auto"/>
            </w:pPr>
            <w:r>
              <w:rPr>
                <w:rFonts w:ascii="Times New Roman" w:hAnsi="Times New Roman" w:cs="Times New Roman"/>
                <w:sz w:val="24"/>
                <w:szCs w:val="24"/>
              </w:rPr>
              <w:t xml:space="preserve">Konteks jurnalisme, bukan konten pemasaran, dan tidak menghasilkan artefak sistem</w:t>
            </w:r>
          </w:p>
        </w:tc>
      </w:tr>
      <w:tr>
        <w:tc>
          <w:tcPr>
            <w:tcW w:w="1417" w:type="dxa"/>
          </w:tcPr>
          <w:p>
            <w:pPr>
              <w:jc w:val="left"/>
              <w:spacing w:before="0" w:after="0" w:line="240" w:lineRule="auto"/>
            </w:pPr>
            <w:r>
              <w:rPr>
                <w:rFonts w:ascii="Times New Roman" w:hAnsi="Times New Roman" w:cs="Times New Roman"/>
                <w:sz w:val="24"/>
                <w:szCs w:val="24"/>
              </w:rPr>
              <w:t xml:space="preserve">Yusna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Manajemen Proyek Berbasis Web pada Apada Studio Menggunakan Metode Waterfall</w:t>
            </w:r>
          </w:p>
        </w:tc>
        <w:tc>
          <w:tcPr>
            <w:tcW w:w="1417" w:type="dxa"/>
          </w:tcPr>
          <w:p>
            <w:pPr>
              <w:jc w:val="left"/>
              <w:spacing w:before="0" w:after="0" w:line="240" w:lineRule="auto"/>
            </w:pPr>
            <w:r>
              <w:rPr>
                <w:rFonts w:ascii="Times New Roman" w:hAnsi="Times New Roman" w:cs="Times New Roman"/>
                <w:sz w:val="24"/>
                <w:szCs w:val="24"/>
              </w:rPr>
              <w:t xml:space="preserve">Waterfall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fungsi sistem dinyatakan valid melalui pengujian black box</w:t>
            </w:r>
          </w:p>
        </w:tc>
        <w:tc>
          <w:tcPr>
            <w:tcW w:w="1134" w:type="dxa"/>
          </w:tcPr>
          <w:p>
            <w:pPr>
              <w:jc w:val="left"/>
              <w:spacing w:before="0" w:after="0" w:line="240" w:lineRule="auto"/>
            </w:pPr>
            <w:r>
              <w:rPr>
                <w:rFonts w:ascii="Times New Roman" w:hAnsi="Times New Roman" w:cs="Times New Roman"/>
                <w:sz w:val="24"/>
                <w:szCs w:val="24"/>
              </w:rPr>
              <w:t xml:space="preserve">Tidak melibatkan kecerdasan buatan dan hanya menguji fungsionalitas, bukan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Tabel 2.1 dapat disimpulkan beberapa hal. Penelitian Tran dkk. (2025) dan Lin dkk. (2025) telah memetakan mekanisme kolaborasi serta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namun keduanya berhenti pada tataran konseptual dan tidak menerapkannya pada proses bisnis yang berjalan. Chu dkk. (2025) telah membawa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ke ranah pemasaran, tetapi agen digunakan untuk mensimulasikan perilaku konsumen, bukan untuk memproduksi materi konten. Aghaei dkk. (2025) memetakan peluang penerapan model bahasa besar pada manajemen pemasaran secara luas tanpa membangun sistem maupun mengukur dampaknya. Pada konteks Indonesia, Rahman dkk. (2025) menyoroti risiko halusinasi dan bias pada luaran model bahasa besar serta menekankan perlunya kendali manusia, namun kajian tersebut berada pada domain jurnalisme. Sementara itu Yusna dkk. (2025) mewakili corak penelitian rancang bangun sistem informasi yang lazim di Indonesia, yang menguji sistem hanya sampai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tanpa menilai mutu luaran yang dihasilkan.</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serta mengukur dampaknya pada dua sisi sekaligus yaitu efisiensi waktu dan konsistensi identitas merek dalam konteks ritel berbahasa Indonesia. Celah inilah yang hendak diisi oleh penelitian ini.</w:t>
      </w:r>
    </w:p>
    <w:p>
      <w:pPr>
        <w:jc w:val="both"/>
        <w:spacing w:before="0" w:after="0" w:line="360" w:lineRule="auto"/>
        <w:ind w:firstLine="567"/>
      </w:pPr>
      <w:r>
        <w:rPr>
          <w:rFonts w:ascii="Times New Roman" w:hAnsi="Times New Roman" w:cs="Times New Roman"/>
          <w:b/>
          <w:sz w:val="24"/>
          <w:szCs w:val="24"/>
        </w:rPr>
        <w:t xml:space="preserve">[CATATAN UNTUK PENULIS: enam sumber di atas sudah diverifikasi keberadaannya. Praktik lazim menuntut delapan sampai sepuluh penelitian terdahulu, sehingga masih dibutuhkan dua sampai empat sumber tambahan. Perluas penelusuran pada Garuda dan SINTA dengan kata kunci: evaluasi luaran model bahasa besar bahasa Indonesia, sistem informasi pemasaran berbasis kecerdasan buatan, dan konsistensi gaya bahasa merek.]</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b/>
          <w:sz w:val="24"/>
          <w:szCs w:val="24"/>
        </w:rPr>
        <w:t xml:space="preserve">[SITASI DIBUTUHKAN: definisi pemasaran konten digital dan tahapan produksinya, dari buku terbitan maksimal sepuluh tahun terakhir atau jurnal maksimal lima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b/>
          <w:sz w:val="24"/>
          <w:szCs w:val="24"/>
        </w:rPr>
        <w:t xml:space="preserve">[SITASI DIBUTUHKAN: definisi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serta dimensi pengukurannya. Penelusuran pada tahap ini belum menemukan sumber akademik yang layak; hasil pencarian didominasi tulisan pemasaran komersial yang tidak melalui telaah sejawat sehingga tidak dapat dipakai. Cari pada jurnal manajemen pemasaran atau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terbitan maksimal sepuluh tahun terakhir]</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pada aplikasi web]</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b/>
          <w:sz w:val="24"/>
          <w:szCs w:val="24"/>
        </w:rPr>
        <w:t xml:space="preserve">[SITASI DIBUTUHKAN: arsitektur klien-server dan prinsip REST API]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w:t>
      </w:r>
    </w:p>
    <w:p>
      <w:pPr>
        <w:jc w:val="both"/>
        <w:spacing w:before="0" w:after="0" w:line="360" w:lineRule="auto"/>
        <w:ind w:firstLine="567"/>
      </w:pPr>
      <w:r>
        <w:rPr>
          <w:rFonts w:ascii="Times New Roman" w:hAnsi="Times New Roman" w:cs="Times New Roman"/>
          <w:b/>
          <w:sz w:val="24"/>
          <w:szCs w:val="24"/>
        </w:rPr>
        <w:t xml:space="preserve">[SITASI DIBUTUHKAN: definisi dan tahapan metode Waterfall, dari buku rekayasa perangkat lunak terbitan maksimal sepuluh tahun terakhir]</w:t>
      </w:r>
    </w:p>
    <w:p>
      <w:pPr>
        <w:jc w:val="both"/>
        <w:spacing w:before="0" w:after="0" w:line="360" w:lineRule="auto"/>
        <w:ind w:firstLine="567"/>
      </w:pPr>
      <w:r>
        <w:rPr>
          <w:rFonts w:ascii="Times New Roman" w:hAnsi="Times New Roman" w:cs="Times New Roman"/>
          <w:sz w:val="24"/>
          <w:szCs w:val="24"/>
        </w:rPr>
        <w:t xml:space="preserve">Penerapan metode Waterfall pada pengembangan sistem informasi berbasis web telah banyak dilakukan. Yusna dkk. (2025) menerapkan metode tersebut melalui tahapan analisis kebutuhan, perancangan sistem, implementasi, pengujian, dan evaluasi pada pembangunan sistem informasi manajemen proyek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menyatakan seluruh fungsi sistem valid. Penelitian ini menggunakan tahapan serupa, dengan tambahan pengujian mutu luaran yang tidak dilakukan pada penelitian tersebut.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b/>
          <w:sz w:val="24"/>
          <w:szCs w:val="24"/>
        </w:rPr>
        <w:t xml:space="preserve">[SITASI DIBUTUHKAN: penyusunan rubrik penilaian dan pengukuran kesepakatan antar-penilai, misalnya koefisien Kappa]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b/>
          <w:sz w:val="24"/>
          <w:szCs w:val="24"/>
        </w:rPr>
        <w:t xml:space="preserve">[SITASI DIBUTUHKAN: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