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atau pemasaran. Kata kunci juga diperluas dengan metode Rapid Application Development karena metode tersebut dipakai pada penelitian ini. Dari penelusuran tersebut diperoleh delapan penelitian yang relevan sebagaimana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Tran dkk. (2025)</w:t>
            </w:r>
          </w:p>
        </w:tc>
        <w:tc>
          <w:tcPr>
            <w:tcW w:w="2268" w:type="dxa"/>
          </w:tcPr>
          <w:p>
            <w:pPr>
              <w:jc w:val="left"/>
              <w:spacing w:before="0" w:after="0" w:line="240" w:lineRule="auto"/>
            </w:pPr>
            <w:r>
              <w:rPr>
                <w:rFonts w:ascii="Times New Roman" w:hAnsi="Times New Roman" w:cs="Times New Roman"/>
                <w:sz w:val="24"/>
                <w:szCs w:val="24"/>
              </w:rPr>
              <w:t xml:space="preserve">Multi-Agent Collaboration Mechanisms: A Survey of LLMs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dimensi kolaborasi antar-agen: aktor, jenis interaksi, struktur, strategi, dan protokol koordinasi</w:t>
            </w:r>
          </w:p>
        </w:tc>
        <w:tc>
          <w:tcPr>
            <w:tcW w:w="1134" w:type="dxa"/>
          </w:tcPr>
          <w:p>
            <w:pPr>
              <w:jc w:val="left"/>
              <w:spacing w:before="0" w:after="0" w:line="240" w:lineRule="auto"/>
            </w:pPr>
            <w:r>
              <w:rPr>
                <w:rFonts w:ascii="Times New Roman" w:hAnsi="Times New Roman" w:cs="Times New Roman"/>
                <w:sz w:val="24"/>
                <w:szCs w:val="24"/>
              </w:rPr>
              <w:t xml:space="preserve">Bersifat konseptual dan tidak membangun sistem pada kasus bisnis nyata</w:t>
            </w:r>
          </w:p>
        </w:tc>
      </w:tr>
      <w:tr>
        <w:tc>
          <w:tcPr>
            <w:tcW w:w="1417" w:type="dxa"/>
          </w:tcPr>
          <w:p>
            <w:pPr>
              <w:jc w:val="left"/>
              <w:spacing w:before="0" w:after="0" w:line="240" w:lineRule="auto"/>
            </w:pPr>
            <w:r>
              <w:rPr>
                <w:rFonts w:ascii="Times New Roman" w:hAnsi="Times New Roman" w:cs="Times New Roman"/>
                <w:sz w:val="24"/>
                <w:szCs w:val="24"/>
              </w:rPr>
              <w:t xml:space="preserve">Lin dkk. (2025)</w:t>
            </w:r>
          </w:p>
        </w:tc>
        <w:tc>
          <w:tcPr>
            <w:tcW w:w="2268" w:type="dxa"/>
          </w:tcPr>
          <w:p>
            <w:pPr>
              <w:jc w:val="left"/>
              <w:spacing w:before="0" w:after="0" w:line="240" w:lineRule="auto"/>
            </w:pPr>
            <w:r>
              <w:rPr>
                <w:rFonts w:ascii="Times New Roman" w:hAnsi="Times New Roman" w:cs="Times New Roman"/>
                <w:sz w:val="24"/>
                <w:szCs w:val="24"/>
              </w:rPr>
              <w:t xml:space="preserve">Creativity in LLM-based Multi-Agent Systems: A Survey</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taksonomi proaktivitas agen dan desain persona serta teknik penghasilan luaran kreatif</w:t>
            </w:r>
          </w:p>
        </w:tc>
        <w:tc>
          <w:tcPr>
            <w:tcW w:w="1134" w:type="dxa"/>
          </w:tcPr>
          <w:p>
            <w:pPr>
              <w:jc w:val="left"/>
              <w:spacing w:before="0" w:after="0" w:line="240" w:lineRule="auto"/>
            </w:pPr>
            <w:r>
              <w:rPr>
                <w:rFonts w:ascii="Times New Roman" w:hAnsi="Times New Roman" w:cs="Times New Roman"/>
                <w:sz w:val="24"/>
                <w:szCs w:val="24"/>
              </w:rPr>
              <w:t xml:space="preserve">Fokus pada kreativitas luaran, tidak mengukur konsistensi identitas merek</w:t>
            </w:r>
          </w:p>
        </w:tc>
      </w:tr>
      <w:tr>
        <w:tc>
          <w:tcPr>
            <w:tcW w:w="1417" w:type="dxa"/>
          </w:tcPr>
          <w:p>
            <w:pPr>
              <w:jc w:val="left"/>
              <w:spacing w:before="0" w:after="0" w:line="240" w:lineRule="auto"/>
            </w:pPr>
            <w:r>
              <w:rPr>
                <w:rFonts w:ascii="Times New Roman" w:hAnsi="Times New Roman" w:cs="Times New Roman"/>
                <w:sz w:val="24"/>
                <w:szCs w:val="24"/>
              </w:rPr>
              <w:t xml:space="preserve">Chu dkk. (2025)</w:t>
            </w:r>
          </w:p>
        </w:tc>
        <w:tc>
          <w:tcPr>
            <w:tcW w:w="2268" w:type="dxa"/>
          </w:tcPr>
          <w:p>
            <w:pPr>
              <w:jc w:val="left"/>
              <w:spacing w:before="0" w:after="0" w:line="240" w:lineRule="auto"/>
            </w:pPr>
            <w:r>
              <w:rPr>
                <w:rFonts w:ascii="Times New Roman" w:hAnsi="Times New Roman" w:cs="Times New Roman"/>
                <w:sz w:val="24"/>
                <w:szCs w:val="24"/>
              </w:rPr>
              <w:t xml:space="preserve">LLM-Based Multi-Agent System for Simulating and Analyzing Marketing and Consumer Behavior</w:t>
            </w:r>
          </w:p>
        </w:tc>
        <w:tc>
          <w:tcPr>
            <w:tcW w:w="1417" w:type="dxa"/>
          </w:tcPr>
          <w:p>
            <w:pPr>
              <w:jc w:val="left"/>
              <w:spacing w:before="0" w:after="0" w:line="240" w:lineRule="auto"/>
            </w:pPr>
            <w:r>
              <w:rPr>
                <w:rFonts w:ascii="Times New Roman" w:hAnsi="Times New Roman" w:cs="Times New Roman"/>
                <w:sz w:val="24"/>
                <w:szCs w:val="24"/>
              </w:rPr>
              <w:t xml:space="preserve">Simulasi berbasis agen</w:t>
            </w:r>
          </w:p>
        </w:tc>
        <w:tc>
          <w:tcPr>
            <w:tcW w:w="1701" w:type="dxa"/>
          </w:tcPr>
          <w:p>
            <w:pPr>
              <w:jc w:val="left"/>
              <w:spacing w:before="0" w:after="0" w:line="240" w:lineRule="auto"/>
            </w:pPr>
            <w:r>
              <w:rPr>
                <w:rFonts w:ascii="Times New Roman" w:hAnsi="Times New Roman" w:cs="Times New Roman"/>
                <w:sz w:val="24"/>
                <w:szCs w:val="24"/>
              </w:rPr>
              <w:t xml:space="preserve">Agen generatif mampu berinteraksi dan mengambil keputusan pembelian untuk menguji strategi pemasaran</w:t>
            </w:r>
          </w:p>
        </w:tc>
        <w:tc>
          <w:tcPr>
            <w:tcW w:w="1134" w:type="dxa"/>
          </w:tcPr>
          <w:p>
            <w:pPr>
              <w:jc w:val="left"/>
              <w:spacing w:before="0" w:after="0" w:line="240" w:lineRule="auto"/>
            </w:pPr>
            <w:r>
              <w:rPr>
                <w:rFonts w:ascii="Times New Roman" w:hAnsi="Times New Roman" w:cs="Times New Roman"/>
                <w:sz w:val="24"/>
                <w:szCs w:val="24"/>
              </w:rPr>
              <w:t xml:space="preserve">Mensimulasikan perilaku konsumen,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Aghaei dkk. (2025)</w:t>
            </w:r>
          </w:p>
        </w:tc>
        <w:tc>
          <w:tcPr>
            <w:tcW w:w="2268" w:type="dxa"/>
          </w:tcPr>
          <w:p>
            <w:pPr>
              <w:jc w:val="left"/>
              <w:spacing w:before="0" w:after="0" w:line="240" w:lineRule="auto"/>
            </w:pPr>
            <w:r>
              <w:rPr>
                <w:rFonts w:ascii="Times New Roman" w:hAnsi="Times New Roman" w:cs="Times New Roman"/>
                <w:sz w:val="24"/>
                <w:szCs w:val="24"/>
              </w:rPr>
              <w:t xml:space="preserve">Harnessing the Potential of Large Language Models in Modern Marketing Management</w:t>
            </w:r>
          </w:p>
        </w:tc>
        <w:tc>
          <w:tcPr>
            <w:tcW w:w="1417" w:type="dxa"/>
          </w:tcPr>
          <w:p>
            <w:pPr>
              <w:jc w:val="left"/>
              <w:spacing w:before="0" w:after="0" w:line="240" w:lineRule="auto"/>
            </w:pPr>
            <w:r>
              <w:rPr>
                <w:rFonts w:ascii="Times New Roman" w:hAnsi="Times New Roman" w:cs="Times New Roman"/>
                <w:sz w:val="24"/>
                <w:szCs w:val="24"/>
              </w:rPr>
              <w:t xml:space="preserve">Kajian konseptual</w:t>
            </w:r>
          </w:p>
        </w:tc>
        <w:tc>
          <w:tcPr>
            <w:tcW w:w="1701" w:type="dxa"/>
          </w:tcPr>
          <w:p>
            <w:pPr>
              <w:jc w:val="left"/>
              <w:spacing w:before="0" w:after="0" w:line="240" w:lineRule="auto"/>
            </w:pPr>
            <w:r>
              <w:rPr>
                <w:rFonts w:ascii="Times New Roman" w:hAnsi="Times New Roman" w:cs="Times New Roman"/>
                <w:sz w:val="24"/>
                <w:szCs w:val="24"/>
              </w:rPr>
              <w:t xml:space="preserve">Memetakan penerapan model bahasa besar pada keterlibatan pelanggan, optimasi kampanye, dan penghasilan konten</w:t>
            </w:r>
          </w:p>
        </w:tc>
        <w:tc>
          <w:tcPr>
            <w:tcW w:w="1134" w:type="dxa"/>
          </w:tcPr>
          <w:p>
            <w:pPr>
              <w:jc w:val="left"/>
              <w:spacing w:before="0" w:after="0" w:line="240" w:lineRule="auto"/>
            </w:pPr>
            <w:r>
              <w:rPr>
                <w:rFonts w:ascii="Times New Roman" w:hAnsi="Times New Roman" w:cs="Times New Roman"/>
                <w:sz w:val="24"/>
                <w:szCs w:val="24"/>
              </w:rPr>
              <w:t xml:space="preserve">Tidak membangun maupun menguji sistem, dan tidak mengukur efisiensi</w:t>
            </w:r>
          </w:p>
        </w:tc>
      </w:tr>
      <w:tr>
        <w:tc>
          <w:tcPr>
            <w:tcW w:w="1417" w:type="dxa"/>
          </w:tcPr>
          <w:p>
            <w:pPr>
              <w:jc w:val="left"/>
              <w:spacing w:before="0" w:after="0" w:line="240" w:lineRule="auto"/>
            </w:pPr>
            <w:r>
              <w:rPr>
                <w:rFonts w:ascii="Times New Roman" w:hAnsi="Times New Roman" w:cs="Times New Roman"/>
                <w:sz w:val="24"/>
                <w:szCs w:val="24"/>
              </w:rPr>
              <w:t xml:space="preserve">Rahman dkk. (2025)</w:t>
            </w:r>
          </w:p>
        </w:tc>
        <w:tc>
          <w:tcPr>
            <w:tcW w:w="2268" w:type="dxa"/>
          </w:tcPr>
          <w:p>
            <w:pPr>
              <w:jc w:val="left"/>
              <w:spacing w:before="0" w:after="0" w:line="240" w:lineRule="auto"/>
            </w:pPr>
            <w:r>
              <w:rPr>
                <w:rFonts w:ascii="Times New Roman" w:hAnsi="Times New Roman" w:cs="Times New Roman"/>
                <w:sz w:val="24"/>
                <w:szCs w:val="24"/>
              </w:rPr>
              <w:t xml:space="preserve">Penggunaan Large Language Models dalam Penulisan Artikel Berita</w:t>
            </w:r>
          </w:p>
        </w:tc>
        <w:tc>
          <w:tcPr>
            <w:tcW w:w="1417" w:type="dxa"/>
          </w:tcPr>
          <w:p>
            <w:pPr>
              <w:jc w:val="left"/>
              <w:spacing w:before="0" w:after="0" w:line="240" w:lineRule="auto"/>
            </w:pPr>
            <w:r>
              <w:rPr>
                <w:rFonts w:ascii="Times New Roman" w:hAnsi="Times New Roman" w:cs="Times New Roman"/>
                <w:sz w:val="24"/>
                <w:szCs w:val="24"/>
              </w:rPr>
              <w:t xml:space="preserve">Systematic Literature Review dengan protokol PRISMA</w:t>
            </w:r>
          </w:p>
        </w:tc>
        <w:tc>
          <w:tcPr>
            <w:tcW w:w="1701" w:type="dxa"/>
          </w:tcPr>
          <w:p>
            <w:pPr>
              <w:jc w:val="left"/>
              <w:spacing w:before="0" w:after="0" w:line="240" w:lineRule="auto"/>
            </w:pPr>
            <w:r>
              <w:rPr>
                <w:rFonts w:ascii="Times New Roman" w:hAnsi="Times New Roman" w:cs="Times New Roman"/>
                <w:sz w:val="24"/>
                <w:szCs w:val="24"/>
              </w:rPr>
              <w:t xml:space="preserve">Menemukan risiko halusinasi dan bias algoritmik, serta perlunya keseimbangan peran manusia dan mesin</w:t>
            </w:r>
          </w:p>
        </w:tc>
        <w:tc>
          <w:tcPr>
            <w:tcW w:w="1134" w:type="dxa"/>
          </w:tcPr>
          <w:p>
            <w:pPr>
              <w:jc w:val="left"/>
              <w:spacing w:before="0" w:after="0" w:line="240" w:lineRule="auto"/>
            </w:pPr>
            <w:r>
              <w:rPr>
                <w:rFonts w:ascii="Times New Roman" w:hAnsi="Times New Roman" w:cs="Times New Roman"/>
                <w:sz w:val="24"/>
                <w:szCs w:val="24"/>
              </w:rPr>
              <w:t xml:space="preserve">Konteks jurnalisme, bukan konten pemasaran, dan tidak menghasilkan artefak sistem</w:t>
            </w:r>
          </w:p>
        </w:tc>
      </w:tr>
      <w:tr>
        <w:tc>
          <w:tcPr>
            <w:tcW w:w="1417" w:type="dxa"/>
          </w:tcPr>
          <w:p>
            <w:pPr>
              <w:jc w:val="left"/>
              <w:spacing w:before="0" w:after="0" w:line="240" w:lineRule="auto"/>
            </w:pPr>
            <w:r>
              <w:rPr>
                <w:rFonts w:ascii="Times New Roman" w:hAnsi="Times New Roman" w:cs="Times New Roman"/>
                <w:sz w:val="24"/>
                <w:szCs w:val="24"/>
              </w:rPr>
              <w:t xml:space="preserve">Yusna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Manajemen Proyek Berbasis Web pada Apada Studio Menggunakan Metode Waterfall</w:t>
            </w:r>
          </w:p>
        </w:tc>
        <w:tc>
          <w:tcPr>
            <w:tcW w:w="1417" w:type="dxa"/>
          </w:tcPr>
          <w:p>
            <w:pPr>
              <w:jc w:val="left"/>
              <w:spacing w:before="0" w:after="0" w:line="240" w:lineRule="auto"/>
            </w:pPr>
            <w:r>
              <w:rPr>
                <w:rFonts w:ascii="Times New Roman" w:hAnsi="Times New Roman" w:cs="Times New Roman"/>
                <w:sz w:val="24"/>
                <w:szCs w:val="24"/>
              </w:rPr>
              <w:t xml:space="preserve">Waterfall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fungsi sistem dinyatakan valid melalui pengujian black box</w:t>
            </w:r>
          </w:p>
        </w:tc>
        <w:tc>
          <w:tcPr>
            <w:tcW w:w="1134" w:type="dxa"/>
          </w:tcPr>
          <w:p>
            <w:pPr>
              <w:jc w:val="left"/>
              <w:spacing w:before="0" w:after="0" w:line="240" w:lineRule="auto"/>
            </w:pPr>
            <w:r>
              <w:rPr>
                <w:rFonts w:ascii="Times New Roman" w:hAnsi="Times New Roman" w:cs="Times New Roman"/>
                <w:sz w:val="24"/>
                <w:szCs w:val="24"/>
              </w:rPr>
              <w:t xml:space="preserve">Memakai metode sekuensial dan tanpa kecerdasan buatan, serta hanya menguji fungsionalitas</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Sistem 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penjualan,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dan mutu luaran sistem tidak dinilai dengan rubrik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Tabel 2.1 dapat disimpulkan beberapa hal. Penelitian Tran dkk. (2025) dan Lin dkk. (2025) telah memetakan mekanisme kolaborasi serta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namun keduanya berhenti pada tataran konseptual dan tidak menerapkannya pada proses bisnis yang berjalan. Chu dkk. (2025) telah membawa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ke ranah pemasaran, tetapi agen digunakan untuk mensimulasikan perilaku konsumen, bukan untuk memproduksi materi konten. Aghaei dkk. (2025) memetakan peluang penerapan model bahasa besar pada manajemen pemasaran secara luas tanpa membangun sistem maupun mengukur dampaknya. Pada konteks Indonesia, Rahman dkk. (2025) menyoroti risiko halusinasi dan bias pada luaran model bahasa besar serta menekankan perlunya kendali manusia, namun kajian tersebut berada pada domain jurnalisme. Sementara itu Yusna dkk. (2025), Rasim dkk. (2025), dan Yunus dkk. (2025) mewakili corak penelitian rancang bangun sistem informasi yang lazim di Indonesia. Ketiganya menguji sistem sampai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dan Yunus dkk. (2025) menambahkan pengukuran kebergunaan melalui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 namun tidak satu pun menilai mutu materi yang dihasilkan sistem.</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mengukur dampaknya pada dua sisi sekaligus yaitu efisiensi waktu dan konsistensi identitas merek dalam konteks ritel berbahasa Indonesia. Celah inilah yang hendak diisi oleh penelitian ini.</w:t>
      </w:r>
    </w:p>
    <w:p>
      <w:pPr>
        <w:jc w:val="both"/>
        <w:spacing w:before="0" w:after="0" w:line="360" w:lineRule="auto"/>
        <w:ind w:firstLine="567"/>
      </w:pPr>
      <w:r>
        <w:rPr>
          <w:rFonts w:ascii="Times New Roman" w:hAnsi="Times New Roman" w:cs="Times New Roman"/>
          <w:b/>
          <w:sz w:val="24"/>
          <w:szCs w:val="24"/>
        </w:rPr>
        <w:t xml:space="preserve">[CATATAN UNTUK PENULIS: delapan sumber di atas sudah diverifikasi keberadaannya langsung ke halaman penerbit. Jumlah ini sudah memenuhi praktik lazim delapan sampai sepuluh penelitian terdahulu. Bila pembimbing meminta tambahan, perluas penelusuran pada Garuda dan SINTA dengan kata kunci: evaluasi luaran model bahasa besar bahasa Indonesia, sistem informasi pemasaran berbasis kecerdasan buatan, dan konsistensi gaya bahasa merek.]</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b/>
          <w:sz w:val="24"/>
          <w:szCs w:val="24"/>
        </w:rPr>
        <w:t xml:space="preserve">[SITASI DIBUTUHKAN: definisi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dimensi pengukurannya. Penelusuran pada tahap ini belum menemukan sumber akademik yang layak; hasil pencarian didominasi tulisan pemasaran komersial yang tidak melalui telaah sejawat sehingga tidak dapat dipakai. Cari pada jurnal manajemen pemasaran atau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terbitan maksimal sepuluh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