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kemajuan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Perancangan Sistem 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Sistem yang dirancang berstatus prototipe dan masih berada pada tahap pengujian, belum diterapkan pada kegiatan operasional harian. Penilaian yang dilakukan penelitian ini terbatas pada keluaran prototipe tersebut;</w:t>
      </w:r>
    </w:p>
    <w:p>
      <w:pPr>
        <w:jc w:val="both"/>
        <w:spacing w:before="0" w:after="0" w:line="360" w:lineRule="auto"/>
        <w:ind w:left="1134" w:hanging="567"/>
      </w:pPr>
      <w:r>
        <w:rPr>
          <w:rFonts w:ascii="Times New Roman" w:hAnsi="Times New Roman" w:cs="Times New Roman"/>
          <w:sz w:val="24"/>
          <w:szCs w:val="24"/>
        </w:rPr>
        <w:t xml:space="preserve">c.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d.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e.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f.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g.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h.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r>
        <w:br w:type="page"/>
      </w:r>
    </w:p>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perancangan sistem informasi. Kriteria inklusi yang ditetapkan adalah publikasi terbitan tahun 2021 sampai 2026, berbahasa Indonesia atau Inggris, dan membahas penerapan model bahasa besar pada produksi konten, evaluasi luaran teks, atau perancangan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perancangan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dilanjutkan penelitian berikutnya.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menyusun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perancangan sistem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merancang sistem produksi konten pemasaran untuk proses kerja yang nyata,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apa yang diproyeksikan sebuah merek dan pada akhirnya dipersepsikan oleh penerima yang dituju, mencakup sikap, nada suara, pilihan bahasa, dan tipografi. Definisi tersebut dirujuk Kirkby dkk. (2023) dari Kohli dan Yen dalam kajian mereka mengenai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Dengan kata lain,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bukan sekadar apa yang ditulis merek, melainkan kesan yang tertangkap audiens dari cara merek itu menulis.</w:t>
      </w:r>
    </w:p>
    <w:p>
      <w:pPr>
        <w:jc w:val="both"/>
        <w:spacing w:before="0" w:after="0" w:line="360" w:lineRule="auto"/>
        <w:ind w:firstLine="567"/>
      </w:pPr>
      <w:r>
        <w:rPr>
          <w:rFonts w:ascii="Times New Roman" w:hAnsi="Times New Roman" w:cs="Times New Roman"/>
          <w:sz w:val="24"/>
          <w:szCs w:val="24"/>
        </w:rPr>
        <w:t xml:space="preserve">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sz w:val="24"/>
          <w:szCs w:val="24"/>
        </w:rPr>
        <w:t xml:space="preserve">Kirkby dkk. (2025) selanjutnya menyusun kerangka konseptual bagi ko-kreasi manusia dan kecerdasan buatan dalam menghasilkan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kreatif. Arah tersebut sejalan dengan rancangan penelitian ini, yang menempatkan agen kecerdasan buatan pada penyusunan awal materi sementara manusia tetap menjadi pemeriksa akhir sebelum materi diterbitkan.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sz w:val="24"/>
          <w:szCs w:val="24"/>
        </w:rPr>
        <w:t xml:space="preserve">Otomasi alur kerja pada aplikasi web menuntut pemisahan antara permintaan pengguna dan proses yang memakan waktu lama. Gutiérrez-Leal dkk. (2026) menerapkan arsitektur yang memadukan layanan web, pekerja latar belakang asinkron, basis data relasional, dan penyimpanan kunci-nilai untuk mengolah 22.286 respons teks menggunakan model bahasa besar. Mekanisme asinkron tersebut dipicu saat permintaan dikirim agar siklus permintaan dan tanggapan tidak terkunci menunggu proses inferensi yang berlatensi tinggi.</w:t>
      </w:r>
    </w:p>
    <w:p>
      <w:pPr>
        <w:jc w:val="both"/>
        <w:spacing w:before="0" w:after="0" w:line="360" w:lineRule="auto"/>
        <w:ind w:firstLine="567"/>
      </w:pPr>
      <w:r>
        <w:rPr>
          <w:rFonts w:ascii="Times New Roman" w:hAnsi="Times New Roman" w:cs="Times New Roman"/>
          <w:sz w:val="24"/>
          <w:szCs w:val="24"/>
        </w:rPr>
        <w:t xml:space="preserve">Pada arsitektur tersebut, setiap permintaan mendaftarkan tugas baru dengan pengenal unik yang kemudian dimasukkan ke antrian untuk dijalankan di latar belakang, sementara layanan web langsung mengembalikan tanda terima berisi pengenal tugas. Konfigurasi produksinya menggunakan empat pekerja, dan ketika seluruh pekerja sibuk maka permintaan berikutnya menunggu dalam antrian sampai kapasitas tersedia. Pola inilah yang dipakai pada penelitian ini untuk menjalankan proses gabungan penghasilan materi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kerja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perancangan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perancangan berlangsung berulang. Rancangan kemampuan agen dan penyusunan konteks merek beberapa kali diperbaiki selama prototipe diuji, berdasarkan penilaian terhadap mutu materi yang dihasilkan. Sebagai pembanding, Yusna dkk. (2025) membangun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menggambarkan struktur data melalui empat komponen dasar. Kadir (2020) menjelaskan entitas sebagai sesuatu dalam dunia nyata yang keberadaannya tidak bergantung pada yang lain, sedangkan atribut merupakan properti atau karakteristik yang melekat pada setiap entitas. Hubungan menyatakan keterkaitan antara beberapa tipe entitas, dengan jenis satu ke satu, satu ke banyak, banyak ke satu, dan banyak ke banyak.</w:t>
      </w:r>
    </w:p>
    <w:p>
      <w:pPr>
        <w:jc w:val="both"/>
        <w:spacing w:before="0" w:after="0" w:line="360" w:lineRule="auto"/>
        <w:ind w:firstLine="567"/>
      </w:pPr>
      <w:r>
        <w:rPr>
          <w:rFonts w:ascii="Times New Roman" w:hAnsi="Times New Roman" w:cs="Times New Roman"/>
          <w:sz w:val="24"/>
          <w:szCs w:val="24"/>
        </w:rPr>
        <w:t xml:space="preserve">Kekangan kardinalitas menyatakan jumlah instan entitas suatu tipe yang dikaitkan dengan setiap instan pada tipe entitas lain, dan dibedakan menjadi kardinalitas minimum serta kardinalitas maksimum (Kadir, 2020). Keempat komponen inilah yang dipakai pada perancangan basis data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r>
        <w:br w:type="page"/>
      </w:r>
    </w:p>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perancangan dan pengujian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sz w:val="24"/>
          <w:szCs w:val="24"/>
        </w:rPr>
        <w:t xml:space="preserve">Instrumen penilaian telah disusun terlebih dahulu dan disajikan pada Tabel 3.2, sedangkan penetapan jumlah naskah yang diuji beserta jumlah dan asal penilai dilakukan setelah materi konten pada kanal media sosial terkumpul.</w:t>
      </w:r>
    </w:p>
    <w:p>
      <w:pPr>
        <w:jc w:val="both"/>
        <w:spacing w:before="0" w:after="0" w:line="360" w:lineRule="auto"/>
        <w:ind w:firstLine="567"/>
      </w:pPr>
      <w:r>
        <w:rPr>
          <w:rFonts w:ascii="Times New Roman" w:hAnsi="Times New Roman" w:cs="Times New Roman"/>
          <w:b/>
          <w:sz w:val="24"/>
          <w:szCs w:val="24"/>
        </w:rPr>
        <w:t xml:space="preserve">[BUTUH KEPUTUSAN PENULIS: tetapkan jumlah naskah yang diuji serta jumlah dan asal penilai setelah materi terkumpul. Jumlah penilai sekurang-kurangnya tiga orang, dan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matriks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matriks diturunkan dari bidang yang tersimpan pada profil merek di dalam sistem, sehingga penilaian dapat ditelusuri kembali ke acuan yang benar-benar dipakai sistem saat menghasilkan naskah. Setiap dimensi dinilai pada rentang 1 sampai 4, sehingga skor maksimal seluruh dimensi adalah 20.</w:t>
      </w:r>
    </w:p>
    <w:p>
      <w:pPr>
        <w:jc w:val="both"/>
        <w:spacing w:before="0" w:after="0" w:line="360" w:lineRule="auto"/>
        <w:ind w:firstLine="567"/>
      </w:pPr>
      <w:r>
        <w:rPr>
          <w:rFonts w:ascii="Times New Roman" w:hAnsi="Times New Roman" w:cs="Times New Roman"/>
          <w:sz w:val="24"/>
          <w:szCs w:val="24"/>
        </w:rPr>
        <w:t xml:space="preserve">Deskriptor pada setiap tingkat skor ditulis secara operasional agar penilai tidak perlu menafsirkan sendiri batas antar-tingkat. Hal ini penting karena penilaian dilakukan oleh lebih dari satu orang secara mandiri, dan kesepakatan antar-penilai hanya bermakna bila seluruh penilai membaca ukuran yang sama.</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600"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1</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2</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3</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4</w:t>
            </w:r>
          </w:p>
        </w:tc>
      </w:tr>
      <w:tr>
        <w:tc>
          <w:tcPr>
            <w:tcW w:w="1600" w:type="dxa"/>
          </w:tcPr>
          <w:p>
            <w:pPr>
              <w:jc w:val="left"/>
              <w:spacing w:before="0" w:after="0" w:line="240" w:lineRule="auto"/>
            </w:pPr>
            <w:r>
              <w:rPr>
                <w:rFonts w:ascii="Times New Roman" w:hAnsi="Times New Roman" w:cs="Times New Roman"/>
                <w:sz w:val="24"/>
                <w:szCs w:val="24"/>
              </w:rPr>
              <w:t xml:space="preserve">Gaya bahasa</w:t>
            </w:r>
          </w:p>
        </w:tc>
        <w:tc>
          <w:tcPr>
            <w:tcW w:w="1584" w:type="dxa"/>
          </w:tcPr>
          <w:p>
            <w:pPr>
              <w:jc w:val="left"/>
              <w:spacing w:before="0" w:after="0" w:line="240" w:lineRule="auto"/>
            </w:pPr>
            <w:r>
              <w:rPr>
                <w:rFonts w:ascii="Times New Roman" w:hAnsi="Times New Roman" w:cs="Times New Roman"/>
                <w:sz w:val="24"/>
                <w:szCs w:val="24"/>
              </w:rPr>
              <w:t xml:space="preserve">Nada dan tingkat formalitas menyimpang jelas dari profil merek</w:t>
            </w:r>
          </w:p>
        </w:tc>
        <w:tc>
          <w:tcPr>
            <w:tcW w:w="1584" w:type="dxa"/>
          </w:tcPr>
          <w:p>
            <w:pPr>
              <w:jc w:val="left"/>
              <w:spacing w:before="0" w:after="0" w:line="240" w:lineRule="auto"/>
            </w:pPr>
            <w:r>
              <w:rPr>
                <w:rFonts w:ascii="Times New Roman" w:hAnsi="Times New Roman" w:cs="Times New Roman"/>
                <w:sz w:val="24"/>
                <w:szCs w:val="24"/>
              </w:rPr>
              <w:t xml:space="preserve">Terdapat pergeseran nada yang mencolok pada sebagian kalimat</w:t>
            </w:r>
          </w:p>
        </w:tc>
        <w:tc>
          <w:tcPr>
            <w:tcW w:w="1584" w:type="dxa"/>
          </w:tcPr>
          <w:p>
            <w:pPr>
              <w:jc w:val="left"/>
              <w:spacing w:before="0" w:after="0" w:line="240" w:lineRule="auto"/>
            </w:pPr>
            <w:r>
              <w:rPr>
                <w:rFonts w:ascii="Times New Roman" w:hAnsi="Times New Roman" w:cs="Times New Roman"/>
                <w:sz w:val="24"/>
                <w:szCs w:val="24"/>
              </w:rPr>
              <w:t xml:space="preserve">Nada sesuai secara keseluruhan dengan satu atau dua penyimpangan kecil</w:t>
            </w:r>
          </w:p>
        </w:tc>
        <w:tc>
          <w:tcPr>
            <w:tcW w:w="1584" w:type="dxa"/>
          </w:tcPr>
          <w:p>
            <w:pPr>
              <w:jc w:val="left"/>
              <w:spacing w:before="0" w:after="0" w:line="240" w:lineRule="auto"/>
            </w:pPr>
            <w:r>
              <w:rPr>
                <w:rFonts w:ascii="Times New Roman" w:hAnsi="Times New Roman" w:cs="Times New Roman"/>
                <w:sz w:val="24"/>
                <w:szCs w:val="24"/>
              </w:rPr>
              <w:t xml:space="preserve">Nada, sapaan, dan tingkat formalitas konsisten di seluruh teks</w:t>
            </w:r>
          </w:p>
        </w:tc>
      </w:tr>
      <w:tr>
        <w:tc>
          <w:tcPr>
            <w:tcW w:w="1600" w:type="dxa"/>
          </w:tcPr>
          <w:p>
            <w:pPr>
              <w:jc w:val="left"/>
              <w:spacing w:before="0" w:after="0" w:line="240" w:lineRule="auto"/>
            </w:pPr>
            <w:r>
              <w:rPr>
                <w:rFonts w:ascii="Times New Roman" w:hAnsi="Times New Roman" w:cs="Times New Roman"/>
                <w:sz w:val="24"/>
                <w:szCs w:val="24"/>
              </w:rPr>
              <w:t xml:space="preserve">Sasaran audiens</w:t>
            </w:r>
          </w:p>
        </w:tc>
        <w:tc>
          <w:tcPr>
            <w:tcW w:w="1584" w:type="dxa"/>
          </w:tcPr>
          <w:p>
            <w:pPr>
              <w:jc w:val="left"/>
              <w:spacing w:before="0" w:after="0" w:line="240" w:lineRule="auto"/>
            </w:pPr>
            <w:r>
              <w:rPr>
                <w:rFonts w:ascii="Times New Roman" w:hAnsi="Times New Roman" w:cs="Times New Roman"/>
                <w:sz w:val="24"/>
                <w:szCs w:val="24"/>
              </w:rPr>
              <w:t xml:space="preserve">Diksi dan rujukan tidak sesuai audiens yang ditetapkan</w:t>
            </w:r>
          </w:p>
        </w:tc>
        <w:tc>
          <w:tcPr>
            <w:tcW w:w="1584" w:type="dxa"/>
          </w:tcPr>
          <w:p>
            <w:pPr>
              <w:jc w:val="left"/>
              <w:spacing w:before="0" w:after="0" w:line="240" w:lineRule="auto"/>
            </w:pPr>
            <w:r>
              <w:rPr>
                <w:rFonts w:ascii="Times New Roman" w:hAnsi="Times New Roman" w:cs="Times New Roman"/>
                <w:sz w:val="24"/>
                <w:szCs w:val="24"/>
              </w:rPr>
              <w:t xml:space="preserve">Sebagian diksi sesuai, sebagian terasa salah sasaran</w:t>
            </w:r>
          </w:p>
        </w:tc>
        <w:tc>
          <w:tcPr>
            <w:tcW w:w="1584" w:type="dxa"/>
          </w:tcPr>
          <w:p>
            <w:pPr>
              <w:jc w:val="left"/>
              <w:spacing w:before="0" w:after="0" w:line="240" w:lineRule="auto"/>
            </w:pPr>
            <w:r>
              <w:rPr>
                <w:rFonts w:ascii="Times New Roman" w:hAnsi="Times New Roman" w:cs="Times New Roman"/>
                <w:sz w:val="24"/>
                <w:szCs w:val="24"/>
              </w:rPr>
              <w:t xml:space="preserve">Sesuai audiens dengan sedikit istilah yang kurang tepat</w:t>
            </w:r>
          </w:p>
        </w:tc>
        <w:tc>
          <w:tcPr>
            <w:tcW w:w="1584" w:type="dxa"/>
          </w:tcPr>
          <w:p>
            <w:pPr>
              <w:jc w:val="left"/>
              <w:spacing w:before="0" w:after="0" w:line="240" w:lineRule="auto"/>
            </w:pPr>
            <w:r>
              <w:rPr>
                <w:rFonts w:ascii="Times New Roman" w:hAnsi="Times New Roman" w:cs="Times New Roman"/>
                <w:sz w:val="24"/>
                <w:szCs w:val="24"/>
              </w:rPr>
              <w:t xml:space="preserve">Diksi dan rujukan tepat sasaran di seluruh teks</w:t>
            </w:r>
          </w:p>
        </w:tc>
      </w:tr>
      <w:tr>
        <w:tc>
          <w:tcPr>
            <w:tcW w:w="1600" w:type="dxa"/>
          </w:tcPr>
          <w:p>
            <w:pPr>
              <w:jc w:val="left"/>
              <w:spacing w:before="0" w:after="0" w:line="240" w:lineRule="auto"/>
            </w:pPr>
            <w:r>
              <w:rPr>
                <w:rFonts w:ascii="Times New Roman" w:hAnsi="Times New Roman" w:cs="Times New Roman"/>
                <w:sz w:val="24"/>
                <w:szCs w:val="24"/>
              </w:rPr>
              <w:t xml:space="preserve">Keunggulan produk</w:t>
            </w:r>
          </w:p>
        </w:tc>
        <w:tc>
          <w:tcPr>
            <w:tcW w:w="1584" w:type="dxa"/>
          </w:tcPr>
          <w:p>
            <w:pPr>
              <w:jc w:val="left"/>
              <w:spacing w:before="0" w:after="0" w:line="240" w:lineRule="auto"/>
            </w:pPr>
            <w:r>
              <w:rPr>
                <w:rFonts w:ascii="Times New Roman" w:hAnsi="Times New Roman" w:cs="Times New Roman"/>
                <w:sz w:val="24"/>
                <w:szCs w:val="24"/>
              </w:rPr>
              <w:t xml:space="preserve">Keunggulan tidak disebut atau disebut keliru</w:t>
            </w:r>
          </w:p>
        </w:tc>
        <w:tc>
          <w:tcPr>
            <w:tcW w:w="1584" w:type="dxa"/>
          </w:tcPr>
          <w:p>
            <w:pPr>
              <w:jc w:val="left"/>
              <w:spacing w:before="0" w:after="0" w:line="240" w:lineRule="auto"/>
            </w:pPr>
            <w:r>
              <w:rPr>
                <w:rFonts w:ascii="Times New Roman" w:hAnsi="Times New Roman" w:cs="Times New Roman"/>
                <w:sz w:val="24"/>
                <w:szCs w:val="24"/>
              </w:rPr>
              <w:t xml:space="preserve">Keunggulan disebut namun tertukar dengan atribut umum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meski kurang tajam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jelas sesuai profil merek</w:t>
            </w:r>
          </w:p>
        </w:tc>
      </w:tr>
      <w:tr>
        <w:tc>
          <w:tcPr>
            <w:tcW w:w="1600" w:type="dxa"/>
          </w:tcPr>
          <w:p>
            <w:pPr>
              <w:jc w:val="left"/>
              <w:spacing w:before="0" w:after="0" w:line="240" w:lineRule="auto"/>
            </w:pPr>
            <w:r>
              <w:rPr>
                <w:rFonts w:ascii="Times New Roman" w:hAnsi="Times New Roman" w:cs="Times New Roman"/>
                <w:sz w:val="24"/>
                <w:szCs w:val="24"/>
              </w:rPr>
              <w:t xml:space="preserve">Kepatuhan batasan</w:t>
            </w:r>
          </w:p>
        </w:tc>
        <w:tc>
          <w:tcPr>
            <w:tcW w:w="1584" w:type="dxa"/>
          </w:tcPr>
          <w:p>
            <w:pPr>
              <w:jc w:val="left"/>
              <w:spacing w:before="0" w:after="0" w:line="240" w:lineRule="auto"/>
            </w:pPr>
            <w:r>
              <w:rPr>
                <w:rFonts w:ascii="Times New Roman" w:hAnsi="Times New Roman" w:cs="Times New Roman"/>
                <w:sz w:val="24"/>
                <w:szCs w:val="24"/>
              </w:rPr>
              <w:t xml:space="preserve">Melanggar lebih dari satu batasan penulisan</w:t>
            </w:r>
          </w:p>
        </w:tc>
        <w:tc>
          <w:tcPr>
            <w:tcW w:w="1584" w:type="dxa"/>
          </w:tcPr>
          <w:p>
            <w:pPr>
              <w:jc w:val="left"/>
              <w:spacing w:before="0" w:after="0" w:line="240" w:lineRule="auto"/>
            </w:pPr>
            <w:r>
              <w:rPr>
                <w:rFonts w:ascii="Times New Roman" w:hAnsi="Times New Roman" w:cs="Times New Roman"/>
                <w:sz w:val="24"/>
                <w:szCs w:val="24"/>
              </w:rPr>
              <w:t xml:space="preserve">Melanggar satu batasan penulisan</w:t>
            </w:r>
          </w:p>
        </w:tc>
        <w:tc>
          <w:tcPr>
            <w:tcW w:w="1584" w:type="dxa"/>
          </w:tcPr>
          <w:p>
            <w:pPr>
              <w:jc w:val="left"/>
              <w:spacing w:before="0" w:after="0" w:line="240" w:lineRule="auto"/>
            </w:pPr>
            <w:r>
              <w:rPr>
                <w:rFonts w:ascii="Times New Roman" w:hAnsi="Times New Roman" w:cs="Times New Roman"/>
                <w:sz w:val="24"/>
                <w:szCs w:val="24"/>
              </w:rPr>
              <w:t xml:space="preserve">Tidak melanggar namun mendekati batas pada satu bagian</w:t>
            </w:r>
          </w:p>
        </w:tc>
        <w:tc>
          <w:tcPr>
            <w:tcW w:w="1584" w:type="dxa"/>
          </w:tcPr>
          <w:p>
            <w:pPr>
              <w:jc w:val="left"/>
              <w:spacing w:before="0" w:after="0" w:line="240" w:lineRule="auto"/>
            </w:pPr>
            <w:r>
              <w:rPr>
                <w:rFonts w:ascii="Times New Roman" w:hAnsi="Times New Roman" w:cs="Times New Roman"/>
                <w:sz w:val="24"/>
                <w:szCs w:val="24"/>
              </w:rPr>
              <w:t xml:space="preserve">Seluruh batasan penulisan dipatuhi</w:t>
            </w:r>
          </w:p>
        </w:tc>
      </w:tr>
      <w:tr>
        <w:tc>
          <w:tcPr>
            <w:tcW w:w="1600" w:type="dxa"/>
          </w:tcPr>
          <w:p>
            <w:pPr>
              <w:jc w:val="left"/>
              <w:spacing w:before="0" w:after="0" w:line="240" w:lineRule="auto"/>
            </w:pPr>
            <w:r>
              <w:rPr>
                <w:rFonts w:ascii="Times New Roman" w:hAnsi="Times New Roman" w:cs="Times New Roman"/>
                <w:sz w:val="24"/>
                <w:szCs w:val="24"/>
              </w:rPr>
              <w:t xml:space="preserve">Ajakan bertindak</w:t>
            </w:r>
          </w:p>
        </w:tc>
        <w:tc>
          <w:tcPr>
            <w:tcW w:w="1584" w:type="dxa"/>
          </w:tcPr>
          <w:p>
            <w:pPr>
              <w:jc w:val="left"/>
              <w:spacing w:before="0" w:after="0" w:line="240" w:lineRule="auto"/>
            </w:pPr>
            <w:r>
              <w:rPr>
                <w:rFonts w:ascii="Times New Roman" w:hAnsi="Times New Roman" w:cs="Times New Roman"/>
                <w:sz w:val="24"/>
                <w:szCs w:val="24"/>
              </w:rPr>
              <w:t xml:space="preserve">Tidak ada ajakan bertindak atau tidak relevan</w:t>
            </w:r>
          </w:p>
        </w:tc>
        <w:tc>
          <w:tcPr>
            <w:tcW w:w="1584" w:type="dxa"/>
          </w:tcPr>
          <w:p>
            <w:pPr>
              <w:jc w:val="left"/>
              <w:spacing w:before="0" w:after="0" w:line="240" w:lineRule="auto"/>
            </w:pPr>
            <w:r>
              <w:rPr>
                <w:rFonts w:ascii="Times New Roman" w:hAnsi="Times New Roman" w:cs="Times New Roman"/>
                <w:sz w:val="24"/>
                <w:szCs w:val="24"/>
              </w:rPr>
              <w:t xml:space="preserve">Ada namun bentuknya tidak sesuai profil merek</w:t>
            </w:r>
          </w:p>
        </w:tc>
        <w:tc>
          <w:tcPr>
            <w:tcW w:w="1584" w:type="dxa"/>
          </w:tcPr>
          <w:p>
            <w:pPr>
              <w:jc w:val="left"/>
              <w:spacing w:before="0" w:after="0" w:line="240" w:lineRule="auto"/>
            </w:pPr>
            <w:r>
              <w:rPr>
                <w:rFonts w:ascii="Times New Roman" w:hAnsi="Times New Roman" w:cs="Times New Roman"/>
                <w:sz w:val="24"/>
                <w:szCs w:val="24"/>
              </w:rPr>
              <w:t xml:space="preserve">Sesuai namun penempatannya kurang tepat</w:t>
            </w:r>
          </w:p>
        </w:tc>
        <w:tc>
          <w:tcPr>
            <w:tcW w:w="1584" w:type="dxa"/>
          </w:tcPr>
          <w:p>
            <w:pPr>
              <w:jc w:val="left"/>
              <w:spacing w:before="0" w:after="0" w:line="240" w:lineRule="auto"/>
            </w:pPr>
            <w:r>
              <w:rPr>
                <w:rFonts w:ascii="Times New Roman" w:hAnsi="Times New Roman" w:cs="Times New Roman"/>
                <w:sz w:val="24"/>
                <w:szCs w:val="24"/>
              </w:rPr>
              <w:t xml:space="preserve">Bentuk dan penempatan sesuai profil merek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Skor total setiap naskah dikelompokkan ke dalam empat kategori, yaitu 17 sampai 20 sangat konsisten, 13 sampai 16 konsisten, 9 sampai 12 cukup konsisten, dan 5 sampai 8 tidak konsisten. Batas kategori tersebut bersifat usulan dan perlu ditinjau bersama dosen pembimbing sebelum penilaian dimulai.</w:t>
      </w:r>
    </w:p>
    <w:p>
      <w:pPr>
        <w:jc w:val="both"/>
        <w:spacing w:before="0" w:after="0" w:line="360" w:lineRule="auto"/>
        <w:ind w:firstLine="567"/>
      </w:pPr>
      <w:r>
        <w:rPr>
          <w:rFonts w:ascii="Times New Roman" w:hAnsi="Times New Roman" w:cs="Times New Roman"/>
          <w:b/>
          <w:sz w:val="24"/>
          <w:szCs w:val="24"/>
        </w:rPr>
        <w:t xml:space="preserve">[CATATAN UNTUK PENULIS: dimensi matriks diturunkan dari struktur profil merek pada sistem, bukan dari pustaka. Setelah sub-bab 2.2.4 memperoleh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tinjau kembali apakah kelima dimensi ini sudah mewakili konsep tersebut. Validitas isi matriks sebaiknya ditelaah dosen pembimbing sebelum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dirancang dan dibangun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perancangan berlangsung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 penyempurnaan konteks merek dilakukan ketika keluaran prototipe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uji yang menyerupai lingkungan sebenarnya. Kegiatan yang dilakukan meliputi penempatan seluruh layanan dalam wadah, pemasangan pada peladen uji, penyiapan akun awal, dan pengujian menyeluruh. Keluaran fase ini berupa prototipe yang dapat diakses dan diuji oleh tim. Penerapan penuh pada kegiatan operasional harian berada di luar lingkup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terhitung sejak September 2026 sampai Januari 2027,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Sep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Okt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Nov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Des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Jan 2027</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materi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Pengukuran waktu produksi konten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r>
        <w:br w:type="page"/>
      </w:r>
    </w:p>
    <w:p>
      <w:pPr>
        <w:jc w:val="center"/>
        <w:spacing w:before="0" w:after="0" w:line="360" w:lineRule="auto"/>
      </w:pPr>
      <w:r>
        <w:rPr>
          <w:rFonts w:ascii="Times New Roman" w:hAnsi="Times New Roman" w:cs="Times New Roman"/>
          <w:b/>
          <w:sz w:val="28"/>
          <w:szCs w:val="28"/>
        </w:rPr>
        <w:t xml:space="preserve">DAFTAR PUSTAKA</w:t>
      </w:r>
    </w:p>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Borse, N. S., Chatta Subramaniam, R., &amp; Rebello, N. S. (2025). Investigation of the inter-rater reliability between large language models and human raters in qualitative analysis. Dalam </w:t>
      </w:r>
      <w:r>
        <w:rPr>
          <w:rFonts w:ascii="Times New Roman" w:hAnsi="Times New Roman" w:cs="Times New Roman"/>
          <w:i/>
          <w:sz w:val="24"/>
          <w:szCs w:val="24"/>
        </w:rPr>
        <w:t xml:space="preserve">Physics Education Research Conference 2025</w:t>
      </w:r>
      <w:r>
        <w:rPr>
          <w:rFonts w:ascii="Times New Roman" w:hAnsi="Times New Roman" w:cs="Times New Roman"/>
          <w:sz w:val="24"/>
          <w:szCs w:val="24"/>
        </w:rPr>
        <w:t xml:space="preserve">. https://arxiv.org/abs/2508.14764</w:t>
      </w:r>
    </w:p>
    <w:p>
      <w:pPr>
        <w:jc w:val="both"/>
        <w:spacing w:before="0" w:after="0" w:line="360" w:lineRule="auto"/>
        <w:ind w:left="720" w:hanging="720"/>
      </w:pPr>
      <w:r>
        <w:rPr>
          <w:rFonts w:ascii="Times New Roman" w:hAnsi="Times New Roman" w:cs="Times New Roman"/>
          <w:sz w:val="24"/>
          <w:szCs w:val="24"/>
        </w:rPr>
        <w:t xml:space="preserve">Bramantyo, S. B., Dewi, I. N., Reza, I. M., Saputra, F. O., &amp; Hasibuan, Z. A. (2025). Pengembangan arsitektur REST API untuk integrasi data real-time pada website pemantauan kualitas udara lahan pertanian. </w:t>
      </w:r>
      <w:r>
        <w:rPr>
          <w:rFonts w:ascii="Times New Roman" w:hAnsi="Times New Roman" w:cs="Times New Roman"/>
          <w:i/>
          <w:sz w:val="24"/>
          <w:szCs w:val="24"/>
        </w:rPr>
        <w:t xml:space="preserve">Transmisi: Jurnal Ilmiah Teknik Elektro, 27</w:t>
      </w:r>
      <w:r>
        <w:rPr>
          <w:rFonts w:ascii="Times New Roman" w:hAnsi="Times New Roman" w:cs="Times New Roman"/>
          <w:sz w:val="24"/>
          <w:szCs w:val="24"/>
        </w:rPr>
        <w:t xml:space="preserve">(1), 49-56. https://doi.org/10.14710/transmisi.27.1.49-56</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Djaini, A., Permana, R. M., &amp; Mahmudin, T. (2025). Analisis strategi adaptif UMKM terhadap integrasi teknologi ChatGPT sebagai instrumen peningkatan daya saing berkelanjutan dan akselerasi inovasi bisnis di era transformasi digital. </w:t>
      </w:r>
      <w:r>
        <w:rPr>
          <w:rFonts w:ascii="Times New Roman" w:hAnsi="Times New Roman" w:cs="Times New Roman"/>
          <w:i/>
          <w:sz w:val="24"/>
          <w:szCs w:val="24"/>
        </w:rPr>
        <w:t xml:space="preserve">Jurnal Minfo Polgan, 14</w:t>
      </w:r>
      <w:r>
        <w:rPr>
          <w:rFonts w:ascii="Times New Roman" w:hAnsi="Times New Roman" w:cs="Times New Roman"/>
          <w:sz w:val="24"/>
          <w:szCs w:val="24"/>
        </w:rPr>
        <w:t xml:space="preserve">(1), 1015-1024. https://doi.org/10.33395/jmp.v14i1.14959</w:t>
      </w:r>
    </w:p>
    <w:p>
      <w:pPr>
        <w:jc w:val="both"/>
        <w:spacing w:before="0" w:after="0" w:line="360" w:lineRule="auto"/>
        <w:ind w:left="720" w:hanging="720"/>
      </w:pPr>
      <w:r>
        <w:rPr>
          <w:rFonts w:ascii="Times New Roman" w:hAnsi="Times New Roman" w:cs="Times New Roman"/>
          <w:sz w:val="24"/>
          <w:szCs w:val="24"/>
        </w:rPr>
        <w:t xml:space="preserve">Gutiérrez-Leal, D. E., León-Sandoval, E., Quintana Contreras, E., &amp; Barbosa-Santillán, L. I. (2026). Production architecture of an AI-powered survey evaluation system: Insights from education. </w:t>
      </w:r>
      <w:r>
        <w:rPr>
          <w:rFonts w:ascii="Times New Roman" w:hAnsi="Times New Roman" w:cs="Times New Roman"/>
          <w:i/>
          <w:sz w:val="24"/>
          <w:szCs w:val="24"/>
        </w:rPr>
        <w:t xml:space="preserve">Applied System Innovation, 9</w:t>
      </w:r>
      <w:r>
        <w:rPr>
          <w:rFonts w:ascii="Times New Roman" w:hAnsi="Times New Roman" w:cs="Times New Roman"/>
          <w:sz w:val="24"/>
          <w:szCs w:val="24"/>
        </w:rPr>
        <w:t xml:space="preserve">(6), 118. https://doi.org/10.3390/asi9060118</w:t>
      </w:r>
    </w:p>
    <w:p>
      <w:pPr>
        <w:jc w:val="both"/>
        <w:spacing w:before="0" w:after="0" w:line="360" w:lineRule="auto"/>
        <w:ind w:left="720" w:hanging="720"/>
      </w:pPr>
      <w:r>
        <w:rPr>
          <w:rFonts w:ascii="Times New Roman" w:hAnsi="Times New Roman" w:cs="Times New Roman"/>
          <w:sz w:val="24"/>
          <w:szCs w:val="24"/>
        </w:rPr>
        <w:t xml:space="preserve">Hanum, R., Fachrudin, D. H., &amp; Rohyana, C. (2026). Rancang bangun sistem informasi UMKM berbasis web untuk promosi digital menggunakan metode rapid application development (RAD). </w:t>
      </w:r>
      <w:r>
        <w:rPr>
          <w:rFonts w:ascii="Times New Roman" w:hAnsi="Times New Roman" w:cs="Times New Roman"/>
          <w:i/>
          <w:sz w:val="24"/>
          <w:szCs w:val="24"/>
        </w:rPr>
        <w:t xml:space="preserve">MALCOM: Indonesian Journal of Machine Learning and Computer Science, 6</w:t>
      </w:r>
      <w:r>
        <w:rPr>
          <w:rFonts w:ascii="Times New Roman" w:hAnsi="Times New Roman" w:cs="Times New Roman"/>
          <w:sz w:val="24"/>
          <w:szCs w:val="24"/>
        </w:rPr>
        <w:t xml:space="preserve">(1), 314-323. https://doi.org/10.57152/malcom.v6i1.2421</w:t>
      </w:r>
    </w:p>
    <w:p>
      <w:pPr>
        <w:jc w:val="both"/>
        <w:spacing w:before="0" w:after="0" w:line="360" w:lineRule="auto"/>
        <w:ind w:left="720" w:hanging="720"/>
      </w:pPr>
      <w:r>
        <w:rPr>
          <w:rFonts w:ascii="Times New Roman" w:hAnsi="Times New Roman" w:cs="Times New Roman"/>
          <w:sz w:val="24"/>
          <w:szCs w:val="24"/>
        </w:rPr>
        <w:t xml:space="preserve">Hashemi, H., Eisner, J., Rosset, C., Van Durme, B., &amp; Kedzie, C. (2024). LLM-Rubric: A multidimensional, calibrated approach to automated evaluation of natural language texts. Dalam </w:t>
      </w:r>
      <w:r>
        <w:rPr>
          <w:rFonts w:ascii="Times New Roman" w:hAnsi="Times New Roman" w:cs="Times New Roman"/>
          <w:i/>
          <w:sz w:val="24"/>
          <w:szCs w:val="24"/>
        </w:rPr>
        <w:t xml:space="preserve">Proceedings of the 62nd Annual Meeting of the Association for Computational Linguistics (Volume 1: Long Papers)</w:t>
      </w:r>
      <w:r>
        <w:rPr>
          <w:rFonts w:ascii="Times New Roman" w:hAnsi="Times New Roman" w:cs="Times New Roman"/>
          <w:sz w:val="24"/>
          <w:szCs w:val="24"/>
        </w:rPr>
        <w:t xml:space="preserve"> (hlm. 13806-13834). https://arxiv.org/abs/2501.00274</w:t>
      </w:r>
    </w:p>
    <w:p>
      <w:pPr>
        <w:jc w:val="both"/>
        <w:spacing w:before="0" w:after="0" w:line="360" w:lineRule="auto"/>
        <w:ind w:left="720" w:hanging="720"/>
      </w:pPr>
      <w:r>
        <w:rPr>
          <w:rFonts w:ascii="Times New Roman" w:hAnsi="Times New Roman" w:cs="Times New Roman"/>
          <w:sz w:val="24"/>
          <w:szCs w:val="24"/>
        </w:rPr>
        <w:t xml:space="preserve">Ibrahim, F. N., &amp; Abdurrahman, A. (2025). Pengaruh promosi dan brand image melalui media sosial terhadap keputusan pembelian sepatu olahraga. </w:t>
      </w:r>
      <w:r>
        <w:rPr>
          <w:rFonts w:ascii="Times New Roman" w:hAnsi="Times New Roman" w:cs="Times New Roman"/>
          <w:i/>
          <w:sz w:val="24"/>
          <w:szCs w:val="24"/>
        </w:rPr>
        <w:t xml:space="preserve">Selekta Manajemen: Jurnal Mahasiswa Bisnis &amp; Manajemen, 3</w:t>
      </w:r>
      <w:r>
        <w:rPr>
          <w:rFonts w:ascii="Times New Roman" w:hAnsi="Times New Roman" w:cs="Times New Roman"/>
          <w:sz w:val="24"/>
          <w:szCs w:val="24"/>
        </w:rPr>
        <w:t xml:space="preserve">(2), 65-75.</w:t>
      </w:r>
    </w:p>
    <w:p>
      <w:pPr>
        <w:jc w:val="both"/>
        <w:spacing w:before="0" w:after="0" w:line="360" w:lineRule="auto"/>
        <w:ind w:left="720" w:hanging="720"/>
      </w:pPr>
      <w:r>
        <w:rPr>
          <w:rFonts w:ascii="Times New Roman" w:hAnsi="Times New Roman" w:cs="Times New Roman"/>
          <w:sz w:val="24"/>
          <w:szCs w:val="24"/>
        </w:rPr>
        <w:t xml:space="preserve">Kadir, A. (2020). </w:t>
      </w:r>
      <w:r>
        <w:rPr>
          <w:rFonts w:ascii="Times New Roman" w:hAnsi="Times New Roman" w:cs="Times New Roman"/>
          <w:i/>
          <w:sz w:val="24"/>
          <w:szCs w:val="24"/>
        </w:rPr>
        <w:t xml:space="preserve">Dasar perancangan dan implementasi database relasional</w:t>
      </w:r>
      <w:r>
        <w:rPr>
          <w:rFonts w:ascii="Times New Roman" w:hAnsi="Times New Roman" w:cs="Times New Roman"/>
          <w:sz w:val="24"/>
          <w:szCs w:val="24"/>
        </w:rPr>
        <w:t xml:space="preserve"> (Edisi revisi). Penerbit Andi.</w:t>
      </w:r>
    </w:p>
    <w:p>
      <w:pPr>
        <w:jc w:val="both"/>
        <w:spacing w:before="0" w:after="0" w:line="360" w:lineRule="auto"/>
        <w:ind w:left="720" w:hanging="720"/>
      </w:pPr>
      <w:r>
        <w:rPr>
          <w:rFonts w:ascii="Times New Roman" w:hAnsi="Times New Roman" w:cs="Times New Roman"/>
          <w:sz w:val="24"/>
          <w:szCs w:val="24"/>
        </w:rPr>
        <w:t xml:space="preserve">Kirkby, A., Baumgarth, C., &amp; Henseler, J. (2023). To disclose or not disclose, is no longer the question: Effect of AI-disclosed brand voice on brand authenticity and attitude. </w:t>
      </w:r>
      <w:r>
        <w:rPr>
          <w:rFonts w:ascii="Times New Roman" w:hAnsi="Times New Roman" w:cs="Times New Roman"/>
          <w:i/>
          <w:sz w:val="24"/>
          <w:szCs w:val="24"/>
        </w:rPr>
        <w:t xml:space="preserve">Journal of Product &amp; Brand Management, 32</w:t>
      </w:r>
      <w:r>
        <w:rPr>
          <w:rFonts w:ascii="Times New Roman" w:hAnsi="Times New Roman" w:cs="Times New Roman"/>
          <w:sz w:val="24"/>
          <w:szCs w:val="24"/>
        </w:rPr>
        <w:t xml:space="preserve">(7), 1108-1122. https://doi.org/10.1108/JPBM-02-2022-3864</w:t>
      </w:r>
    </w:p>
    <w:p>
      <w:pPr>
        <w:jc w:val="both"/>
        <w:spacing w:before="0" w:after="0" w:line="360" w:lineRule="auto"/>
        <w:ind w:left="720" w:hanging="720"/>
      </w:pPr>
      <w:r>
        <w:rPr>
          <w:rFonts w:ascii="Times New Roman" w:hAnsi="Times New Roman" w:cs="Times New Roman"/>
          <w:sz w:val="24"/>
          <w:szCs w:val="24"/>
        </w:rPr>
        <w:t xml:space="preserve">Kirkby, A., Baumgarth, C., &amp; Henseler, J. (2025). Welcome, new brand colleague! A conceptual framework for efficient and effective human-AI co-creation for creative brand voice. </w:t>
      </w:r>
      <w:r>
        <w:rPr>
          <w:rFonts w:ascii="Times New Roman" w:hAnsi="Times New Roman" w:cs="Times New Roman"/>
          <w:i/>
          <w:sz w:val="24"/>
          <w:szCs w:val="24"/>
        </w:rPr>
        <w:t xml:space="preserve">Journal of Brand Management, 32</w:t>
      </w:r>
      <w:r>
        <w:rPr>
          <w:rFonts w:ascii="Times New Roman" w:hAnsi="Times New Roman" w:cs="Times New Roman"/>
          <w:sz w:val="24"/>
          <w:szCs w:val="24"/>
        </w:rPr>
        <w:t xml:space="preserve">(5), 385-399. https://doi.org/10.1057/s41262-025-00387-y</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Lubis, K. L., Nasution, L. N., &amp; Sari, W. I. (2025). Pengaruh penggunaan transaksi digital di berbagai e-commerce terhadap pertumbuhan ekonomi di Indonesia. </w:t>
      </w:r>
      <w:r>
        <w:rPr>
          <w:rFonts w:ascii="Times New Roman" w:hAnsi="Times New Roman" w:cs="Times New Roman"/>
          <w:i/>
          <w:sz w:val="24"/>
          <w:szCs w:val="24"/>
        </w:rPr>
        <w:t xml:space="preserve">Jurnal Publikasi Ekonomi dan Akuntansi (JUPEA), 5</w:t>
      </w:r>
      <w:r>
        <w:rPr>
          <w:rFonts w:ascii="Times New Roman" w:hAnsi="Times New Roman" w:cs="Times New Roman"/>
          <w:sz w:val="24"/>
          <w:szCs w:val="24"/>
        </w:rPr>
        <w:t xml:space="preserve">(3), 315-322. https://doi.org/10.51903/jupea.v5i3.4329</w:t>
      </w:r>
    </w:p>
    <w:p>
      <w:pPr>
        <w:jc w:val="both"/>
        <w:spacing w:before="0" w:after="0" w:line="360" w:lineRule="auto"/>
        <w:ind w:left="720" w:hanging="720"/>
      </w:pPr>
      <w:r>
        <w:rPr>
          <w:rFonts w:ascii="Times New Roman" w:hAnsi="Times New Roman" w:cs="Times New Roman"/>
          <w:sz w:val="24"/>
          <w:szCs w:val="24"/>
        </w:rPr>
        <w:t xml:space="preserve">Nugroho, I. F., Wahyono, A., &amp; Setiawati, D. (2024). Rancang bangun sistem informasi pusat data berbasis website menggunakan metode prototype. </w:t>
      </w:r>
      <w:r>
        <w:rPr>
          <w:rFonts w:ascii="Times New Roman" w:hAnsi="Times New Roman" w:cs="Times New Roman"/>
          <w:i/>
          <w:sz w:val="24"/>
          <w:szCs w:val="24"/>
        </w:rPr>
        <w:t xml:space="preserve">Explore: Jurnal Sistem Informasi dan Telematika, 15</w:t>
      </w:r>
      <w:r>
        <w:rPr>
          <w:rFonts w:ascii="Times New Roman" w:hAnsi="Times New Roman" w:cs="Times New Roman"/>
          <w:sz w:val="24"/>
          <w:szCs w:val="24"/>
        </w:rPr>
        <w:t xml:space="preserve">(2). https://doi.org/10.36448/jsit.v15i2.3788</w:t>
      </w:r>
    </w:p>
    <w:p>
      <w:pPr>
        <w:jc w:val="both"/>
        <w:spacing w:before="0" w:after="0" w:line="360" w:lineRule="auto"/>
        <w:ind w:left="720" w:hanging="720"/>
      </w:pPr>
      <w:r>
        <w:rPr>
          <w:rFonts w:ascii="Times New Roman" w:hAnsi="Times New Roman" w:cs="Times New Roman"/>
          <w:sz w:val="24"/>
          <w:szCs w:val="24"/>
        </w:rPr>
        <w:t xml:space="preserve">Pawana, I. G. N. A., Jayantari, M. W., &amp; Nugraha, M. D. (2024). Rancang bangun sistem informasi pengelolaan surat berbasis web di Fakultas Vokasi Universitas Warmadewa. </w:t>
      </w:r>
      <w:r>
        <w:rPr>
          <w:rFonts w:ascii="Times New Roman" w:hAnsi="Times New Roman" w:cs="Times New Roman"/>
          <w:i/>
          <w:sz w:val="24"/>
          <w:szCs w:val="24"/>
        </w:rPr>
        <w:t xml:space="preserve">Jurnal Ilmiah Telsinas Elektro, Sipil dan Teknik Informasi, 7</w:t>
      </w:r>
      <w:r>
        <w:rPr>
          <w:rFonts w:ascii="Times New Roman" w:hAnsi="Times New Roman" w:cs="Times New Roman"/>
          <w:sz w:val="24"/>
          <w:szCs w:val="24"/>
        </w:rPr>
        <w:t xml:space="preserve">(2), 128-144. https://doi.org/10.38043/telsinas.v7i2.5486</w:t>
      </w:r>
    </w:p>
    <w:p>
      <w:pPr>
        <w:jc w:val="both"/>
        <w:spacing w:before="0" w:after="0" w:line="360" w:lineRule="auto"/>
        <w:ind w:left="720" w:hanging="720"/>
      </w:pPr>
      <w:r>
        <w:rPr>
          <w:rFonts w:ascii="Times New Roman" w:hAnsi="Times New Roman" w:cs="Times New Roman"/>
          <w:sz w:val="24"/>
          <w:szCs w:val="24"/>
        </w:rPr>
        <w:t xml:space="preserve">Priyono, P., Alam, N., Arfian, A., Bastari, J., &amp; Lubis, B. O. (2025). Penerapan metode prototype pada pengembangan sistem informasi penjualan jasa instalasi internet. </w:t>
      </w:r>
      <w:r>
        <w:rPr>
          <w:rFonts w:ascii="Times New Roman" w:hAnsi="Times New Roman" w:cs="Times New Roman"/>
          <w:i/>
          <w:sz w:val="24"/>
          <w:szCs w:val="24"/>
        </w:rPr>
        <w:t xml:space="preserve">Buletin Sistem Informasi dan Teknologi Islam, 6</w:t>
      </w:r>
      <w:r>
        <w:rPr>
          <w:rFonts w:ascii="Times New Roman" w:hAnsi="Times New Roman" w:cs="Times New Roman"/>
          <w:sz w:val="24"/>
          <w:szCs w:val="24"/>
        </w:rPr>
        <w:t xml:space="preserve">(4). https://doi.org/10.33096/busiti.v6i4.3172</w:t>
      </w:r>
    </w:p>
    <w:p>
      <w:pPr>
        <w:jc w:val="both"/>
        <w:spacing w:before="0" w:after="0" w:line="360" w:lineRule="auto"/>
        <w:ind w:left="720" w:hanging="720"/>
      </w:pPr>
      <w:r>
        <w:rPr>
          <w:rFonts w:ascii="Times New Roman" w:hAnsi="Times New Roman" w:cs="Times New Roman"/>
          <w:sz w:val="24"/>
          <w:szCs w:val="24"/>
        </w:rPr>
        <w:t xml:space="preserve">Purpura, A., Chen, E., &amp; Shinde, S. (2025). A multi-stage workflow for the review of marketing content with reasoning large language models.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https://arxiv.org/abs/2601.06054</w:t>
      </w:r>
    </w:p>
    <w:p>
      <w:pPr>
        <w:jc w:val="both"/>
        <w:spacing w:before="0" w:after="0" w:line="360" w:lineRule="auto"/>
        <w:ind w:left="720" w:hanging="720"/>
      </w:pPr>
      <w:r>
        <w:rPr>
          <w:rFonts w:ascii="Times New Roman" w:hAnsi="Times New Roman" w:cs="Times New Roman"/>
          <w:sz w:val="24"/>
          <w:szCs w:val="24"/>
        </w:rPr>
        <w:t xml:space="preserve">Putra, I. A., Basit, A. A., &amp; Avrianto, A. (2025). Pengaruh strategi digital marketing dan content marketing dalam meningkatkan kinerja pemasaran Viera Sutra Alam. </w:t>
      </w:r>
      <w:r>
        <w:rPr>
          <w:rFonts w:ascii="Times New Roman" w:hAnsi="Times New Roman" w:cs="Times New Roman"/>
          <w:i/>
          <w:sz w:val="24"/>
          <w:szCs w:val="24"/>
        </w:rPr>
        <w:t xml:space="preserve">Jurnal Ilmiah Manajemen, Ekonomi, &amp; Akuntansi (MEA), 9</w:t>
      </w:r>
      <w:r>
        <w:rPr>
          <w:rFonts w:ascii="Times New Roman" w:hAnsi="Times New Roman" w:cs="Times New Roman"/>
          <w:sz w:val="24"/>
          <w:szCs w:val="24"/>
        </w:rPr>
        <w:t xml:space="preserve">(2), 2520-2534. https://doi.org/10.31955/mea.v9i2.5979</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Renanti, M. D., Pratini, C. N. P., Nisrina, S. N. A., Zaki, F. M., Luthfiana, D. E., &amp; Baruna A., M. E. (2025). Optimalisasi desain basis data e-commerce untuk menjamin integritas data (studi kasus: web e-commerce Rie.charge). </w:t>
      </w:r>
      <w:r>
        <w:rPr>
          <w:rFonts w:ascii="Times New Roman" w:hAnsi="Times New Roman" w:cs="Times New Roman"/>
          <w:i/>
          <w:sz w:val="24"/>
          <w:szCs w:val="24"/>
        </w:rPr>
        <w:t xml:space="preserve">Jurnal CoSciTech, 6</w:t>
      </w:r>
      <w:r>
        <w:rPr>
          <w:rFonts w:ascii="Times New Roman" w:hAnsi="Times New Roman" w:cs="Times New Roman"/>
          <w:sz w:val="24"/>
          <w:szCs w:val="24"/>
        </w:rPr>
        <w:t xml:space="preserve">(3), 444-452. https://doi.org/10.37859/coscitech.v6i3.10643</w:t>
      </w:r>
    </w:p>
    <w:p>
      <w:pPr>
        <w:jc w:val="both"/>
        <w:spacing w:before="0" w:after="0" w:line="360" w:lineRule="auto"/>
        <w:ind w:left="720" w:hanging="720"/>
      </w:pPr>
      <w:r>
        <w:rPr>
          <w:rFonts w:ascii="Times New Roman" w:hAnsi="Times New Roman" w:cs="Times New Roman"/>
          <w:sz w:val="24"/>
          <w:szCs w:val="24"/>
        </w:rPr>
        <w:t xml:space="preserve">Rospricilia, T. A., &amp; Ma'ady, M. N. P. (2024). Pemodelan integration use case (IUC): Perancangan use case diagram (UML) untuk sistem-sistem yang terintegrasi. </w:t>
      </w:r>
      <w:r>
        <w:rPr>
          <w:rFonts w:ascii="Times New Roman" w:hAnsi="Times New Roman" w:cs="Times New Roman"/>
          <w:i/>
          <w:sz w:val="24"/>
          <w:szCs w:val="24"/>
        </w:rPr>
        <w:t xml:space="preserve">INTEGER: Journal of Information Technology, 9</w:t>
      </w:r>
      <w:r>
        <w:rPr>
          <w:rFonts w:ascii="Times New Roman" w:hAnsi="Times New Roman" w:cs="Times New Roman"/>
          <w:sz w:val="24"/>
          <w:szCs w:val="24"/>
        </w:rPr>
        <w:t xml:space="preserve">(2). https://doi.org/10.31284/j.integer.2024.v9i2.6345</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Truong, K. L., Fogliato, R., Heidari, H., &amp; Wu, Z. S. (2025). Persona-augmented benchmarking: Evaluating LLMs across diverse writing styles.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https://arxiv.org/abs/2507.22168</w:t>
      </w:r>
    </w:p>
    <w:p>
      <w:pPr>
        <w:jc w:val="both"/>
        <w:spacing w:before="0" w:after="0" w:line="360" w:lineRule="auto"/>
        <w:ind w:left="720" w:hanging="720"/>
      </w:pPr>
      <w:r>
        <w:rPr>
          <w:rFonts w:ascii="Times New Roman" w:hAnsi="Times New Roman" w:cs="Times New Roman"/>
          <w:sz w:val="24"/>
          <w:szCs w:val="24"/>
        </w:rPr>
        <w:t xml:space="preserve">Wang, Z., Tripto, N. I., Park, S., Li, Z., &amp; Zhou, J. (2025). Catch me if you can? Not yet: LLMs still struggle to imitate the implicit writing styles of everyday authors. Dalam </w:t>
      </w:r>
      <w:r>
        <w:rPr>
          <w:rFonts w:ascii="Times New Roman" w:hAnsi="Times New Roman" w:cs="Times New Roman"/>
          <w:i/>
          <w:sz w:val="24"/>
          <w:szCs w:val="24"/>
        </w:rPr>
        <w:t xml:space="preserve">Findings of the 2025 Conference on Empirical Methods in Natural Language Processing</w:t>
      </w:r>
      <w:r>
        <w:rPr>
          <w:rFonts w:ascii="Times New Roman" w:hAnsi="Times New Roman" w:cs="Times New Roman"/>
          <w:sz w:val="24"/>
          <w:szCs w:val="24"/>
        </w:rPr>
        <w:t xml:space="preserve">. https://arxiv.org/abs/2509.14543</w:t>
      </w:r>
    </w:p>
    <w:p>
      <w:pPr>
        <w:jc w:val="both"/>
        <w:spacing w:before="0" w:after="0" w:line="360" w:lineRule="auto"/>
        <w:ind w:left="720" w:hanging="720"/>
      </w:pPr>
      <w:r>
        <w:rPr>
          <w:rFonts w:ascii="Times New Roman" w:hAnsi="Times New Roman" w:cs="Times New Roman"/>
          <w:sz w:val="24"/>
          <w:szCs w:val="24"/>
        </w:rPr>
        <w:t xml:space="preserve">Yan, B., Zhou, Z., Zhang, L., Zhang, L., Zhou, Z., Miao, D., Li, Z., Li, C., &amp; Zhang, X. (2025). Beyond self-talk: A communication-centric survey of LLM-based multi-agent systems. </w:t>
      </w:r>
      <w:r>
        <w:rPr>
          <w:rFonts w:ascii="Times New Roman" w:hAnsi="Times New Roman" w:cs="Times New Roman"/>
          <w:i/>
          <w:sz w:val="24"/>
          <w:szCs w:val="24"/>
        </w:rPr>
        <w:t xml:space="preserve">Frontiers of Computer Science</w:t>
      </w:r>
      <w:r>
        <w:rPr>
          <w:rFonts w:ascii="Times New Roman" w:hAnsi="Times New Roman" w:cs="Times New Roman"/>
          <w:sz w:val="24"/>
          <w:szCs w:val="24"/>
        </w:rPr>
        <w:t xml:space="preserve">. https://arxiv.org/abs/2502.14321</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