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terbitan maksimal sepuluh tahun terakhir, untuk memperkuat paragraf pembuka]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