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Arial" w:cs="Arial" w:eastAsia="Arial" w:hAnsi="Arial"/>
          <w:b/>
          <w:bCs/>
          <w:color w:val="007A6E"/>
          <w:sz w:val="72"/>
          <w:szCs w:val="72"/>
        </w:rPr>
        <w:t xml:space="preserve">वाणी · VAANI</w:t>
      </w:r>
    </w:p>
    <w:p>
      <w:pPr>
        <w:spacing w:after="80" w:before="0"/>
        <w:jc w:val="center"/>
      </w:pPr>
      <w:r>
        <w:rPr>
          <w:rFonts w:ascii="Arial" w:cs="Arial" w:eastAsia="Arial" w:hAnsi="Arial"/>
          <w:color w:val="0D2B45"/>
          <w:sz w:val="36"/>
          <w:szCs w:val="36"/>
        </w:rPr>
        <w:t xml:space="preserve">Indian Equity Intelligence Platform</w:t>
      </w:r>
    </w:p>
    <w:p>
      <w:pPr>
        <w:spacing w:after="400" w:before="0"/>
        <w:jc w:val="center"/>
      </w:pPr>
      <w:r>
        <w:rPr>
          <w:rFonts w:ascii="Arial" w:cs="Arial" w:eastAsia="Arial" w:hAnsi="Arial"/>
          <w:i/>
          <w:iCs/>
          <w:color w:val="5A6B7A"/>
          <w:sz w:val="26"/>
          <w:szCs w:val="26"/>
        </w:rPr>
        <w:t xml:space="preserve">Complete Product Blueprint — Stock Analyser &amp; Stock Picker</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007A6E" w:sz="1"/>
              <w:left w:val="single" w:color="007A6E" w:sz="1"/>
              <w:bottom w:val="single" w:color="007A6E" w:sz="1"/>
              <w:right w:val="single" w:color="007A6E" w:sz="1"/>
            </w:tcBorders>
            <w:shd w:fill="E6F4F2" w:val="clear"/>
            <w:tcMar>
              <w:top w:type="dxa" w:w="120"/>
              <w:left w:type="dxa" w:w="120"/>
              <w:bottom w:type="dxa" w:w="120"/>
              <w:right w:type="dxa" w:w="120"/>
            </w:tcMar>
          </w:tcPr>
          <w:p>
            <w:pPr>
              <w:jc w:val="center"/>
            </w:pPr>
            <w:r>
              <w:rPr>
                <w:rFonts w:ascii="Arial" w:cs="Arial" w:eastAsia="Arial" w:hAnsi="Arial"/>
                <w:b/>
                <w:bCs/>
                <w:color w:val="0D2B45"/>
                <w:sz w:val="22"/>
                <w:szCs w:val="22"/>
              </w:rPr>
              <w:t xml:space="preserve">NSE / BSE</w:t>
            </w:r>
          </w:p>
        </w:tc>
        <w:tc>
          <w:tcPr>
            <w:tcW w:type="dxa" w:w="2000"/>
            <w:tcBorders>
              <w:top w:val="single" w:color="007A6E" w:sz="1"/>
              <w:left w:val="single" w:color="007A6E" w:sz="1"/>
              <w:bottom w:val="single" w:color="007A6E" w:sz="1"/>
              <w:right w:val="single" w:color="007A6E" w:sz="1"/>
            </w:tcBorders>
            <w:shd w:fill="FFF8E1" w:val="clear"/>
            <w:tcMar>
              <w:top w:type="dxa" w:w="120"/>
              <w:left w:type="dxa" w:w="120"/>
              <w:bottom w:type="dxa" w:w="120"/>
              <w:right w:type="dxa" w:w="120"/>
            </w:tcMar>
          </w:tcPr>
          <w:p>
            <w:pPr>
              <w:jc w:val="center"/>
            </w:pPr>
            <w:r>
              <w:rPr>
                <w:rFonts w:ascii="Arial" w:cs="Arial" w:eastAsia="Arial" w:hAnsi="Arial"/>
                <w:b/>
                <w:bCs/>
                <w:color w:val="0D2B45"/>
                <w:sz w:val="22"/>
                <w:szCs w:val="22"/>
              </w:rPr>
              <w:t xml:space="preserve">7 Intel Layers</w:t>
            </w:r>
          </w:p>
        </w:tc>
        <w:tc>
          <w:tcPr>
            <w:tcW w:type="dxa" w:w="2000"/>
            <w:tcBorders>
              <w:top w:val="single" w:color="007A6E" w:sz="1"/>
              <w:left w:val="single" w:color="007A6E" w:sz="1"/>
              <w:bottom w:val="single" w:color="007A6E" w:sz="1"/>
              <w:right w:val="single" w:color="007A6E" w:sz="1"/>
            </w:tcBorders>
            <w:shd w:fill="E6F4F2" w:val="clear"/>
            <w:tcMar>
              <w:top w:type="dxa" w:w="120"/>
              <w:left w:type="dxa" w:w="120"/>
              <w:bottom w:type="dxa" w:w="120"/>
              <w:right w:type="dxa" w:w="120"/>
            </w:tcMar>
          </w:tcPr>
          <w:p>
            <w:pPr>
              <w:jc w:val="center"/>
            </w:pPr>
            <w:r>
              <w:rPr>
                <w:rFonts w:ascii="Arial" w:cs="Arial" w:eastAsia="Arial" w:hAnsi="Arial"/>
                <w:b/>
                <w:bCs/>
                <w:color w:val="0D2B45"/>
                <w:sz w:val="22"/>
                <w:szCs w:val="22"/>
              </w:rPr>
              <w:t xml:space="preserve">Live Data</w:t>
            </w:r>
          </w:p>
        </w:tc>
      </w:tr>
    </w:tbl>
    <w:p>
      <w:pPr>
        <w:spacing w:after="0" w:before="800"/>
      </w:pPr>
      <w:r>
        <w:t xml:space="preserve"/>
      </w:r>
    </w:p>
    <w:p>
      <w:pPr>
        <w:jc w:val="center"/>
      </w:pPr>
      <w:r>
        <w:rPr>
          <w:rFonts w:ascii="Arial" w:cs="Arial" w:eastAsia="Arial" w:hAnsi="Arial"/>
          <w:color w:val="5A6B7A"/>
          <w:sz w:val="20"/>
          <w:szCs w:val="20"/>
        </w:rPr>
        <w:t xml:space="preserve">Version 1.0  |  March 2026  |  CONFIDENTIAL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5" w:val="clear"/>
            <w:tcMar>
              <w:top w:type="dxa" w:w="200"/>
              <w:left w:type="dxa" w:w="240"/>
              <w:bottom w:type="dxa" w:w="200"/>
              <w:right w:type="dxa" w:w="240"/>
            </w:tcMar>
          </w:tcPr>
          <w:p>
            <w:pPr>
              <w:spacing w:after="80" w:before="0"/>
            </w:pPr>
            <w:r>
              <w:rPr>
                <w:rFonts w:ascii="Arial" w:cs="Arial" w:eastAsia="Arial" w:hAnsi="Arial"/>
                <w:b/>
                <w:bCs/>
                <w:color w:val="FFFFFF"/>
                <w:sz w:val="32"/>
                <w:szCs w:val="32"/>
              </w:rPr>
              <w:t xml:space="preserve">01  EXECUTIVE SUMMARY</w:t>
            </w:r>
          </w:p>
          <w:p>
            <w:pPr>
              <w:spacing w:after="0" w:before="0"/>
            </w:pPr>
            <w:r>
              <w:rPr>
                <w:rFonts w:ascii="Arial" w:cs="Arial" w:eastAsia="Arial" w:hAnsi="Arial"/>
                <w:color w:val="AACCDD"/>
                <w:sz w:val="21"/>
                <w:szCs w:val="21"/>
              </w:rPr>
              <w:t xml:space="preserve">What Vaani is, why it exists, and who it serves</w:t>
            </w:r>
          </w:p>
        </w:tc>
      </w:tr>
    </w:tbl>
    <w:p>
      <w:pPr>
        <w:spacing w:after="0" w:before="200"/>
      </w:pPr>
      <w:r>
        <w:t xml:space="preserve"/>
      </w:r>
    </w:p>
    <w:p>
      <w:pPr>
        <w:pStyle w:val="Heading1"/>
        <w:pBdr>
          <w:bottom w:val="single" w:color="007A6E" w:sz="6" w:space="4"/>
        </w:pBdr>
        <w:spacing w:after="160" w:before="320"/>
      </w:pPr>
      <w:r>
        <w:rPr>
          <w:rFonts w:ascii="Arial" w:cs="Arial" w:eastAsia="Arial" w:hAnsi="Arial"/>
          <w:b/>
          <w:bCs/>
          <w:color w:val="0D2B45"/>
          <w:sz w:val="36"/>
          <w:szCs w:val="36"/>
        </w:rPr>
        <w:t xml:space="preserve">1. Executive Summary</w:t>
      </w:r>
    </w:p>
    <w:p>
      <w:pPr>
        <w:spacing w:after="60" w:before="60"/>
      </w:pPr>
      <w:r>
        <w:rPr>
          <w:rFonts w:ascii="Arial" w:cs="Arial" w:eastAsia="Arial" w:hAnsi="Arial"/>
          <w:color w:val="111111"/>
          <w:sz w:val="22"/>
          <w:szCs w:val="22"/>
        </w:rPr>
        <w:t xml:space="preserve">Vaani is an institutional-grade AI-powered equity research and stock selection platform built specifically for the Indian capital markets (NSE and BSE). It solves a fundamental problem: Indian fund managers, PMS operators, and analysts today rely on fragmented tools — Excel models, broker PDFs, Bloomberg terminals that do not understand Indian-specific data, and manual news monitoring — to make investment decisions worth crores of rupees.</w:t>
      </w:r>
    </w:p>
    <w:p>
      <w:pPr>
        <w:spacing w:after="0" w:before="120"/>
      </w:pPr>
      <w:r>
        <w:t xml:space="preserve"/>
      </w:r>
    </w:p>
    <w:p>
      <w:pPr>
        <w:spacing w:after="60" w:before="60"/>
      </w:pPr>
      <w:r>
        <w:rPr>
          <w:rFonts w:ascii="Arial" w:cs="Arial" w:eastAsia="Arial" w:hAnsi="Arial"/>
          <w:color w:val="111111"/>
          <w:sz w:val="22"/>
          <w:szCs w:val="22"/>
        </w:rPr>
        <w:t xml:space="preserve">Vaani unifies everything into one intelligent system. It analyses every listed NSE/BSE stock across seven intelligence layers simultaneously — fundamental valuation, technical signals, global sector cycle positioning, real-time news sentiment, trade flow intelligence, management credibility scoring, and geopolitical risk — and synthesises them into a single actionable Alpha Score per stock.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6E" w:sz="1"/>
              <w:left w:val="single" w:color="007A6E" w:sz="1"/>
              <w:bottom w:val="single" w:color="007A6E" w:sz="1"/>
              <w:right w:val="single" w:color="007A6E" w:sz="1"/>
            </w:tcBorders>
            <w:shd w:fill="E6F4F2" w:val="clear"/>
            <w:tcMar>
              <w:top w:type="dxa" w:w="120"/>
              <w:left w:type="dxa" w:w="160"/>
              <w:bottom w:type="dxa" w:w="120"/>
              <w:right w:type="dxa" w:w="160"/>
            </w:tcMar>
          </w:tcPr>
          <w:p>
            <w:pPr>
              <w:spacing w:after="60" w:before="0"/>
            </w:pPr>
            <w:r>
              <w:rPr>
                <w:rFonts w:ascii="Arial" w:cs="Arial" w:eastAsia="Arial" w:hAnsi="Arial"/>
                <w:b/>
                <w:bCs/>
                <w:color w:val="007A6E"/>
                <w:sz w:val="22"/>
                <w:szCs w:val="22"/>
              </w:rPr>
              <w:t xml:space="preserve">Core Mission</w:t>
            </w:r>
          </w:p>
          <w:p>
            <w:pPr>
              <w:spacing w:after="0" w:before="0"/>
            </w:pPr>
            <w:r>
              <w:rPr>
                <w:rFonts w:ascii="Arial" w:cs="Arial" w:eastAsia="Arial" w:hAnsi="Arial"/>
                <w:color w:val="111111"/>
                <w:sz w:val="21"/>
                <w:szCs w:val="21"/>
              </w:rPr>
              <w:t xml:space="preserve">To give every Indian fund manager the research capability of a 50-analyst quant desk, powered by AI, at a fraction of the cost.</w:t>
            </w:r>
          </w:p>
        </w:tc>
      </w:tr>
    </w:tbl>
    <w:p>
      <w:pPr>
        <w:spacing w:after="0" w:before="160"/>
      </w:pPr>
      <w:r>
        <w:t xml:space="preserve"/>
      </w:r>
    </w:p>
    <w:p>
      <w:pPr>
        <w:pStyle w:val="Heading2"/>
        <w:spacing w:after="120" w:before="240"/>
      </w:pPr>
      <w:r>
        <w:rPr>
          <w:rFonts w:ascii="Arial" w:cs="Arial" w:eastAsia="Arial" w:hAnsi="Arial"/>
          <w:b/>
          <w:bCs/>
          <w:color w:val="007A6E"/>
          <w:sz w:val="28"/>
          <w:szCs w:val="28"/>
        </w:rPr>
        <w:t xml:space="preserve">Primary Goals (in order of priority)</w:t>
      </w:r>
    </w:p>
    <w:p>
      <w:pPr>
        <w:spacing w:after="60" w:before="60"/>
      </w:pPr>
      <w:r>
        <w:rPr>
          <w:rFonts w:ascii="Arial" w:cs="Arial" w:eastAsia="Arial" w:hAnsi="Arial"/>
          <w:color w:val="111111"/>
          <w:sz w:val="22"/>
          <w:szCs w:val="22"/>
        </w:rPr>
        <w:t xml:space="preserve">The platform is built in two distinct primary stages:</w:t>
      </w:r>
    </w:p>
    <w:p>
      <w:pPr>
        <w:spacing w:after="0" w:before="120"/>
      </w:pPr>
      <w:r>
        <w:t xml:space="preserve"/>
      </w:r>
    </w:p>
    <w:p>
      <w:pPr>
        <w:pStyle w:val="ListParagraph"/>
        <w:numPr>
          <w:ilvl w:val="0"/>
          <w:numId w:val="2"/>
        </w:numPr>
        <w:spacing w:after="40" w:before="40"/>
      </w:pPr>
      <w:r>
        <w:rPr>
          <w:rFonts w:ascii="Arial" w:cs="Arial" w:eastAsia="Arial" w:hAnsi="Arial"/>
          <w:color w:val="111111"/>
          <w:sz w:val="22"/>
          <w:szCs w:val="22"/>
        </w:rPr>
        <w:t xml:space="preserve">STOCK ANALYSER (Phase 1 Primary Goal) — A deep, multi-layer analytical engine that evaluates any NSE/BSE stock across all seven intelligence dimensions. The analyser answers the question: What is the true picture of this stock right now?</w:t>
      </w:r>
    </w:p>
    <w:p>
      <w:pPr>
        <w:pStyle w:val="ListParagraph"/>
        <w:numPr>
          <w:ilvl w:val="0"/>
          <w:numId w:val="2"/>
        </w:numPr>
        <w:spacing w:after="40" w:before="40"/>
      </w:pPr>
      <w:r>
        <w:rPr>
          <w:rFonts w:ascii="Arial" w:cs="Arial" w:eastAsia="Arial" w:hAnsi="Arial"/>
          <w:color w:val="111111"/>
          <w:sz w:val="22"/>
          <w:szCs w:val="22"/>
        </w:rPr>
        <w:t xml:space="preserve">STOCK PICKER (Phase 2 Primary Goal) — An AI-driven screening and ranking engine that scans all 5,000+ listed stocks, filters them by the user's investment philosophy, and surfaces the highest-conviction opportunities. The picker answers the question: Which stocks should I be looking at today?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1" w:val="clear"/>
            <w:tcMar>
              <w:top w:type="dxa" w:w="120"/>
              <w:left w:type="dxa" w:w="160"/>
              <w:bottom w:type="dxa" w:w="120"/>
              <w:right w:type="dxa" w:w="160"/>
            </w:tcMar>
          </w:tcPr>
          <w:p>
            <w:pPr>
              <w:spacing w:after="60" w:before="0"/>
            </w:pPr>
            <w:r>
              <w:rPr>
                <w:rFonts w:ascii="Arial" w:cs="Arial" w:eastAsia="Arial" w:hAnsi="Arial"/>
                <w:b/>
                <w:bCs/>
                <w:color w:val="B8860B"/>
                <w:sz w:val="22"/>
                <w:szCs w:val="22"/>
              </w:rPr>
              <w:t xml:space="preserve">Target Users</w:t>
            </w:r>
          </w:p>
          <w:p>
            <w:pPr>
              <w:spacing w:after="0" w:before="0"/>
            </w:pPr>
            <w:r>
              <w:rPr>
                <w:rFonts w:ascii="Arial" w:cs="Arial" w:eastAsia="Arial" w:hAnsi="Arial"/>
                <w:color w:val="111111"/>
                <w:sz w:val="21"/>
                <w:szCs w:val="21"/>
              </w:rPr>
              <w:t xml:space="preserve">PMS Managers (Rs.500 Cr+ AUM) | SEBI-Registered AIFs | Family Offices | Independent Research Analysts | High Net Worth Active Investors</w:t>
            </w:r>
          </w:p>
        </w:tc>
      </w:tr>
    </w:tbl>
    <w:p>
      <w:pPr>
        <w:spacing w:after="0" w:before="160"/>
      </w:pPr>
      <w:r>
        <w:t xml:space="preserve"/>
      </w:r>
    </w:p>
    <w:p>
      <w:pPr>
        <w:pStyle w:val="Heading2"/>
        <w:spacing w:after="120" w:before="240"/>
      </w:pPr>
      <w:r>
        <w:rPr>
          <w:rFonts w:ascii="Arial" w:cs="Arial" w:eastAsia="Arial" w:hAnsi="Arial"/>
          <w:b/>
          <w:bCs/>
          <w:color w:val="007A6E"/>
          <w:sz w:val="28"/>
          <w:szCs w:val="28"/>
        </w:rPr>
        <w:t xml:space="preserve">The Problem Being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Current Pain Point</w:t>
            </w:r>
          </w:p>
        </w:tc>
        <w:tc>
          <w:tcPr>
            <w:tcW w:type="dxa" w:w="516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Vaani Solution</w:t>
            </w:r>
          </w:p>
        </w:tc>
      </w:tr>
      <w:tr>
        <w:tc>
          <w:tcPr>
            <w:tcW w:type="dxa" w:w="4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Manual DCF models in Excel, rebuilt every quarter</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Automated DCF engine updates every filing cycle, live</w:t>
            </w:r>
          </w:p>
        </w:tc>
      </w:tr>
      <w:tr>
        <w:tc>
          <w:tcPr>
            <w:tcW w:type="dxa" w:w="42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News monitoring is manual and slow</w:t>
            </w:r>
          </w:p>
        </w:tc>
        <w:tc>
          <w:tcPr>
            <w:tcW w:type="dxa" w:w="51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NLP engine scans 200+ sources with seconds-level latency</w:t>
            </w:r>
          </w:p>
        </w:tc>
      </w:tr>
      <w:tr>
        <w:tc>
          <w:tcPr>
            <w:tcW w:type="dxa" w:w="4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visibility into global sector cycle positioning</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Live global cycle tracker mapped to Indian stocks</w:t>
            </w:r>
          </w:p>
        </w:tc>
      </w:tr>
      <w:tr>
        <w:tc>
          <w:tcPr>
            <w:tcW w:type="dxa" w:w="42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Management quality assessed subjectively</w:t>
            </w:r>
          </w:p>
        </w:tc>
        <w:tc>
          <w:tcPr>
            <w:tcW w:type="dxa" w:w="51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NLP scoring of AGM transcripts, pledge data, capital allocation history</w:t>
            </w:r>
          </w:p>
        </w:tc>
      </w:tr>
      <w:tr>
        <w:tc>
          <w:tcPr>
            <w:tcW w:type="dxa" w:w="4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Geopolitical impact analysis is guesswork</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Structured event-to-stock impact modelling</w:t>
            </w:r>
          </w:p>
        </w:tc>
      </w:tr>
      <w:tr>
        <w:tc>
          <w:tcPr>
            <w:tcW w:type="dxa" w:w="42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Trade flow data inaccessible or expensive</w:t>
            </w:r>
          </w:p>
        </w:tc>
        <w:tc>
          <w:tcPr>
            <w:tcW w:type="dxa" w:w="51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DGFT, Panjiva integration mapped to sector and stock level</w:t>
            </w:r>
          </w:p>
        </w:tc>
      </w:tr>
      <w:tr>
        <w:tc>
          <w:tcPr>
            <w:tcW w:type="dxa" w:w="4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Research limited to analyst coverage universe</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 5,000+ stock NSE/BSE coverage with AI-generated reports</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5" w:val="clear"/>
            <w:tcMar>
              <w:top w:type="dxa" w:w="200"/>
              <w:left w:type="dxa" w:w="240"/>
              <w:bottom w:type="dxa" w:w="200"/>
              <w:right w:type="dxa" w:w="240"/>
            </w:tcMar>
          </w:tcPr>
          <w:p>
            <w:pPr>
              <w:spacing w:after="80" w:before="0"/>
            </w:pPr>
            <w:r>
              <w:rPr>
                <w:rFonts w:ascii="Arial" w:cs="Arial" w:eastAsia="Arial" w:hAnsi="Arial"/>
                <w:b/>
                <w:bCs/>
                <w:color w:val="FFFFFF"/>
                <w:sz w:val="32"/>
                <w:szCs w:val="32"/>
              </w:rPr>
              <w:t xml:space="preserve">02  COMPLETE WORKFLOW</w:t>
            </w:r>
          </w:p>
          <w:p>
            <w:pPr>
              <w:spacing w:after="0" w:before="0"/>
            </w:pPr>
            <w:r>
              <w:rPr>
                <w:rFonts w:ascii="Arial" w:cs="Arial" w:eastAsia="Arial" w:hAnsi="Arial"/>
                <w:color w:val="AACCDD"/>
                <w:sz w:val="21"/>
                <w:szCs w:val="21"/>
              </w:rPr>
              <w:t xml:space="preserve">End-to-end user journey from login to investment decision</w:t>
            </w:r>
          </w:p>
        </w:tc>
      </w:tr>
    </w:tbl>
    <w:p>
      <w:pPr>
        <w:spacing w:after="0" w:before="200"/>
      </w:pPr>
      <w:r>
        <w:t xml:space="preserve"/>
      </w:r>
    </w:p>
    <w:p>
      <w:pPr>
        <w:pStyle w:val="Heading1"/>
        <w:pBdr>
          <w:bottom w:val="single" w:color="007A6E" w:sz="6" w:space="4"/>
        </w:pBdr>
        <w:spacing w:after="160" w:before="320"/>
      </w:pPr>
      <w:r>
        <w:rPr>
          <w:rFonts w:ascii="Arial" w:cs="Arial" w:eastAsia="Arial" w:hAnsi="Arial"/>
          <w:b/>
          <w:bCs/>
          <w:color w:val="0D2B45"/>
          <w:sz w:val="36"/>
          <w:szCs w:val="36"/>
        </w:rPr>
        <w:t xml:space="preserve">2. Complete Platform Workflow</w:t>
      </w:r>
    </w:p>
    <w:p>
      <w:pPr>
        <w:spacing w:after="60" w:before="60"/>
      </w:pPr>
      <w:r>
        <w:rPr>
          <w:rFonts w:ascii="Arial" w:cs="Arial" w:eastAsia="Arial" w:hAnsi="Arial"/>
          <w:color w:val="111111"/>
          <w:sz w:val="22"/>
          <w:szCs w:val="22"/>
        </w:rPr>
        <w:t xml:space="preserve">The following describes the complete end-to-end workflow of the Vaani platform from the moment a user logs in to the point they make a final investment decision. Every step is designed around how professional fund managers actually work.</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2.1 Master Workflow Diagram (Step-by-Step)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B7A" w:sz="1"/>
              <w:left w:val="single" w:color="5A6B7A" w:sz="1"/>
              <w:bottom w:val="single" w:color="5A6B7A" w:sz="1"/>
              <w:right w:val="single" w:color="5A6B7A" w:sz="1"/>
            </w:tcBorders>
            <w:shd w:fill="F4F6F8" w:val="clear"/>
            <w:tcMar>
              <w:top w:type="dxa" w:w="120"/>
              <w:left w:type="dxa" w:w="160"/>
              <w:bottom w:type="dxa" w:w="120"/>
              <w:right w:type="dxa" w:w="160"/>
            </w:tcMar>
          </w:tcPr>
          <w:p>
            <w:pPr>
              <w:spacing w:after="60" w:before="0"/>
            </w:pPr>
            <w:r>
              <w:rPr>
                <w:rFonts w:ascii="Arial" w:cs="Arial" w:eastAsia="Arial" w:hAnsi="Arial"/>
                <w:b/>
                <w:bCs/>
                <w:color w:val="5A6B7A"/>
                <w:sz w:val="22"/>
                <w:szCs w:val="22"/>
              </w:rPr>
              <w:t xml:space="preserve">How to Read This Workflow</w:t>
            </w:r>
          </w:p>
          <w:p>
            <w:pPr>
              <w:spacing w:after="0" w:before="0"/>
            </w:pPr>
            <w:r>
              <w:rPr>
                <w:rFonts w:ascii="Arial" w:cs="Arial" w:eastAsia="Arial" w:hAnsi="Arial"/>
                <w:color w:val="111111"/>
                <w:sz w:val="21"/>
                <w:szCs w:val="21"/>
              </w:rPr>
              <w:t xml:space="preserve">Each numbered step is a distinct platform action. Arrows show the natural progression. A user may enter at any step depending on their starting intent — either exploring (enter at Step 1), or researching a known stock (enter at Step 3).</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760"/>
        <w:gridCol w:w="2600"/>
      </w:tblGrid>
      <w:tr>
        <w:trPr>
          <w:tblHeader/>
        </w:trPr>
        <w:tc>
          <w:tcPr>
            <w:tcW w:type="dxa" w:w="6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24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376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Happens</w:t>
            </w:r>
          </w:p>
        </w:tc>
        <w:tc>
          <w:tcPr>
            <w:tcW w:type="dxa" w:w="26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w:t>
            </w:r>
          </w:p>
        </w:tc>
      </w:tr>
      <w:tr>
        <w:tc>
          <w:tcPr>
            <w:tcW w:type="dxa" w:w="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Data Ingestion Layer</w:t>
            </w:r>
          </w:p>
        </w:tc>
        <w:tc>
          <w:tcPr>
            <w:tcW w:type="dxa" w:w="3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Platform pulls live NSE/BSE prices, corporate filings, news, trade data, macro indicators simultaneously</w:t>
            </w:r>
          </w:p>
        </w:tc>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Live data store refreshed every second</w:t>
            </w:r>
          </w:p>
        </w:tc>
      </w:tr>
      <w:tr>
        <w:tc>
          <w:tcPr>
            <w:tcW w:type="dxa" w:w="6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Pre-Processing Engine</w:t>
            </w:r>
          </w:p>
        </w:tc>
        <w:tc>
          <w:tcPr>
            <w:tcW w:type="dxa" w:w="37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Raw data is cleaned, normalised, and tagged by company, sector, and signal type. NLP runs on unstructured text.</w:t>
            </w:r>
          </w:p>
        </w:tc>
        <w:tc>
          <w:tcPr>
            <w:tcW w:type="dxa" w:w="26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Structured signals database</w:t>
            </w:r>
          </w:p>
        </w:tc>
      </w:tr>
      <w:tr>
        <w:tc>
          <w:tcPr>
            <w:tcW w:type="dxa" w:w="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User Enters the Platform</w:t>
            </w:r>
          </w:p>
        </w:tc>
        <w:tc>
          <w:tcPr>
            <w:tcW w:type="dxa" w:w="3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User logs in and sees the Command Dashboard: market pulse, top movers, and AI-surfaced alerts for their watchlist</w:t>
            </w:r>
          </w:p>
        </w:tc>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Personalised dashboard view</w:t>
            </w:r>
          </w:p>
        </w:tc>
      </w:tr>
      <w:tr>
        <w:tc>
          <w:tcPr>
            <w:tcW w:type="dxa" w:w="6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4</w:t>
            </w:r>
          </w:p>
        </w:tc>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Stock Discovery (Picker Mode)</w:t>
            </w:r>
          </w:p>
        </w:tc>
        <w:tc>
          <w:tcPr>
            <w:tcW w:type="dxa" w:w="37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User runs the Smart Screener with custom filters OR asks a natural language query. AI ranks stocks by composite Alpha Score.</w:t>
            </w:r>
          </w:p>
        </w:tc>
        <w:tc>
          <w:tcPr>
            <w:tcW w:type="dxa" w:w="26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Filtered, ranked stock list</w:t>
            </w:r>
          </w:p>
        </w:tc>
      </w:tr>
      <w:tr>
        <w:tc>
          <w:tcPr>
            <w:tcW w:type="dxa" w:w="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Stock Deep Dive (Analyser Mode)</w:t>
            </w:r>
          </w:p>
        </w:tc>
        <w:tc>
          <w:tcPr>
            <w:tcW w:type="dxa" w:w="3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User selects a stock. Platform generates full 7-layer analysis: fundamentals, technicals, DCF, news, management, trade, geo.</w:t>
            </w:r>
          </w:p>
        </w:tc>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 Stock Intelligence Report</w:t>
            </w:r>
          </w:p>
        </w:tc>
      </w:tr>
      <w:tr>
        <w:tc>
          <w:tcPr>
            <w:tcW w:type="dxa" w:w="6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Scenario &amp; Sensitivity Analysis</w:t>
            </w:r>
          </w:p>
        </w:tc>
        <w:tc>
          <w:tcPr>
            <w:tcW w:type="dxa" w:w="37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User runs bull/base/bear DCF scenarios. Adjusts WACC, growth rate, terminal value. Stress-tests the thesis.</w:t>
            </w:r>
          </w:p>
        </w:tc>
        <w:tc>
          <w:tcPr>
            <w:tcW w:type="dxa" w:w="26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Scenario-based valuation range</w:t>
            </w:r>
          </w:p>
        </w:tc>
      </w:tr>
      <w:tr>
        <w:tc>
          <w:tcPr>
            <w:tcW w:type="dxa" w:w="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7</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Risk Assessment</w:t>
            </w:r>
          </w:p>
        </w:tc>
        <w:tc>
          <w:tcPr>
            <w:tcW w:type="dxa" w:w="3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Platform surfaces all risk flags: promoter pledge, debt levels, sector headwinds, geopolitical exposure, earnings momentum reversal</w:t>
            </w:r>
          </w:p>
        </w:tc>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Risk scorecard with red/amber/green flags</w:t>
            </w:r>
          </w:p>
        </w:tc>
      </w:tr>
      <w:tr>
        <w:tc>
          <w:tcPr>
            <w:tcW w:type="dxa" w:w="6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8</w:t>
            </w:r>
          </w:p>
        </w:tc>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Peer &amp; Sector Comparison</w:t>
            </w:r>
          </w:p>
        </w:tc>
        <w:tc>
          <w:tcPr>
            <w:tcW w:type="dxa" w:w="37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Stock benchmarked against direct peers and sector averages across all metrics. Relative valuation calculated.</w:t>
            </w:r>
          </w:p>
        </w:tc>
        <w:tc>
          <w:tcPr>
            <w:tcW w:type="dxa" w:w="26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Comparative analysis table</w:t>
            </w:r>
          </w:p>
        </w:tc>
      </w:tr>
      <w:tr>
        <w:tc>
          <w:tcPr>
            <w:tcW w:type="dxa" w:w="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9</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Research Report Generation</w:t>
            </w:r>
          </w:p>
        </w:tc>
        <w:tc>
          <w:tcPr>
            <w:tcW w:type="dxa" w:w="3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AI generates a full institutional-quality research note in natural language. User can export as PDF or Word.</w:t>
            </w:r>
          </w:p>
        </w:tc>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Downloadable research report</w:t>
            </w:r>
          </w:p>
        </w:tc>
      </w:tr>
      <w:tr>
        <w:tc>
          <w:tcPr>
            <w:tcW w:type="dxa" w:w="6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10</w:t>
            </w:r>
          </w:p>
        </w:tc>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Portfolio Construction</w:t>
            </w:r>
          </w:p>
        </w:tc>
        <w:tc>
          <w:tcPr>
            <w:tcW w:type="dxa" w:w="37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User adds selected stocks to a virtual portfolio. Platform monitors ongoing signals and alerts on thesis changes.</w:t>
            </w:r>
          </w:p>
        </w:tc>
        <w:tc>
          <w:tcPr>
            <w:tcW w:type="dxa" w:w="26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Live monitored portfolio</w:t>
            </w:r>
          </w:p>
        </w:tc>
      </w:tr>
      <w:tr>
        <w:tc>
          <w:tcPr>
            <w:tcW w:type="dxa" w:w="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11</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Alert &amp; Monitoring Layer</w:t>
            </w:r>
          </w:p>
        </w:tc>
        <w:tc>
          <w:tcPr>
            <w:tcW w:type="dxa" w:w="3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Continuous background monitoring fires alerts when price, news, filings, or signal changes breach thresholds</w:t>
            </w:r>
          </w:p>
        </w:tc>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Push notifications and email alerts</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5" w:val="clear"/>
            <w:tcMar>
              <w:top w:type="dxa" w:w="200"/>
              <w:left w:type="dxa" w:w="240"/>
              <w:bottom w:type="dxa" w:w="200"/>
              <w:right w:type="dxa" w:w="240"/>
            </w:tcMar>
          </w:tcPr>
          <w:p>
            <w:pPr>
              <w:spacing w:after="80" w:before="0"/>
            </w:pPr>
            <w:r>
              <w:rPr>
                <w:rFonts w:ascii="Arial" w:cs="Arial" w:eastAsia="Arial" w:hAnsi="Arial"/>
                <w:b/>
                <w:bCs/>
                <w:color w:val="FFFFFF"/>
                <w:sz w:val="32"/>
                <w:szCs w:val="32"/>
              </w:rPr>
              <w:t xml:space="preserve">03  MODULE 1: STOCK ANALYSER</w:t>
            </w:r>
          </w:p>
          <w:p>
            <w:pPr>
              <w:spacing w:after="0" w:before="0"/>
            </w:pPr>
            <w:r>
              <w:rPr>
                <w:rFonts w:ascii="Arial" w:cs="Arial" w:eastAsia="Arial" w:hAnsi="Arial"/>
                <w:color w:val="AACCDD"/>
                <w:sz w:val="21"/>
                <w:szCs w:val="21"/>
              </w:rPr>
              <w:t xml:space="preserve">The 7-layer deep analysis engine — every function in detail</w:t>
            </w:r>
          </w:p>
        </w:tc>
      </w:tr>
    </w:tbl>
    <w:p>
      <w:pPr>
        <w:spacing w:after="0" w:before="200"/>
      </w:pPr>
      <w:r>
        <w:t xml:space="preserve"/>
      </w:r>
    </w:p>
    <w:p>
      <w:pPr>
        <w:pStyle w:val="Heading1"/>
        <w:pBdr>
          <w:bottom w:val="single" w:color="007A6E" w:sz="6" w:space="4"/>
        </w:pBdr>
        <w:spacing w:after="160" w:before="320"/>
      </w:pPr>
      <w:r>
        <w:rPr>
          <w:rFonts w:ascii="Arial" w:cs="Arial" w:eastAsia="Arial" w:hAnsi="Arial"/>
          <w:b/>
          <w:bCs/>
          <w:color w:val="0D2B45"/>
          <w:sz w:val="36"/>
          <w:szCs w:val="36"/>
        </w:rPr>
        <w:t xml:space="preserve">3. Stock Analyser — Complete Specification</w:t>
      </w:r>
    </w:p>
    <w:p>
      <w:pPr>
        <w:spacing w:after="60" w:before="60"/>
      </w:pPr>
      <w:r>
        <w:rPr>
          <w:rFonts w:ascii="Arial" w:cs="Arial" w:eastAsia="Arial" w:hAnsi="Arial"/>
          <w:color w:val="111111"/>
          <w:sz w:val="22"/>
          <w:szCs w:val="22"/>
        </w:rPr>
        <w:t xml:space="preserve">The Stock Analyser is the core of the platform. When a user selects any NSE or BSE listed company, the analyser runs a complete seven-layer analysis and assembles the results into a unified Stock Intelligence Report. Below is the complete specification of every layer, every function, and every data input.</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Layer 1: Fundamental Analysis Engine</w:t>
      </w:r>
    </w:p>
    <w:p>
      <w:pPr>
        <w:spacing w:after="60" w:before="60"/>
      </w:pPr>
      <w:r>
        <w:rPr>
          <w:rFonts w:ascii="Arial" w:cs="Arial" w:eastAsia="Arial" w:hAnsi="Arial"/>
          <w:color w:val="111111"/>
          <w:sz w:val="22"/>
          <w:szCs w:val="22"/>
        </w:rPr>
        <w:t xml:space="preserve">Purpose: Determine the intrinsic financial quality and value of the business based on all available financial data.</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1.1 Financial Statement Parsing</w:t>
      </w:r>
    </w:p>
    <w:p>
      <w:pPr>
        <w:pStyle w:val="ListParagraph"/>
        <w:numPr>
          <w:ilvl w:val="0"/>
          <w:numId w:val="3"/>
        </w:numPr>
        <w:spacing w:after="40" w:before="40"/>
      </w:pPr>
      <w:r>
        <w:rPr>
          <w:rFonts w:ascii="Arial" w:cs="Arial" w:eastAsia="Arial" w:hAnsi="Arial"/>
          <w:color w:val="111111"/>
          <w:sz w:val="22"/>
          <w:szCs w:val="22"/>
        </w:rPr>
        <w:t xml:space="preserve">Automated ingestion of Profit &amp; Loss, Balance Sheet, and Cash Flow statements from BSE/NSE XBRL filings</w:t>
      </w:r>
    </w:p>
    <w:p>
      <w:pPr>
        <w:pStyle w:val="ListParagraph"/>
        <w:numPr>
          <w:ilvl w:val="0"/>
          <w:numId w:val="3"/>
        </w:numPr>
        <w:spacing w:after="40" w:before="40"/>
      </w:pPr>
      <w:r>
        <w:rPr>
          <w:rFonts w:ascii="Arial" w:cs="Arial" w:eastAsia="Arial" w:hAnsi="Arial"/>
          <w:color w:val="111111"/>
          <w:sz w:val="22"/>
          <w:szCs w:val="22"/>
        </w:rPr>
        <w:t xml:space="preserve">10-year historical data normalised for comparability across reporting periods</w:t>
      </w:r>
    </w:p>
    <w:p>
      <w:pPr>
        <w:pStyle w:val="ListParagraph"/>
        <w:numPr>
          <w:ilvl w:val="0"/>
          <w:numId w:val="3"/>
        </w:numPr>
        <w:spacing w:after="40" w:before="40"/>
      </w:pPr>
      <w:r>
        <w:rPr>
          <w:rFonts w:ascii="Arial" w:cs="Arial" w:eastAsia="Arial" w:hAnsi="Arial"/>
          <w:color w:val="111111"/>
          <w:sz w:val="22"/>
          <w:szCs w:val="22"/>
        </w:rPr>
        <w:t xml:space="preserve">Quarterly and annual data maintained simultaneously</w:t>
      </w:r>
    </w:p>
    <w:p>
      <w:pPr>
        <w:pStyle w:val="ListParagraph"/>
        <w:numPr>
          <w:ilvl w:val="0"/>
          <w:numId w:val="3"/>
        </w:numPr>
        <w:spacing w:after="40" w:before="40"/>
      </w:pPr>
      <w:r>
        <w:rPr>
          <w:rFonts w:ascii="Arial" w:cs="Arial" w:eastAsia="Arial" w:hAnsi="Arial"/>
          <w:color w:val="111111"/>
          <w:sz w:val="22"/>
          <w:szCs w:val="22"/>
        </w:rPr>
        <w:t xml:space="preserve">Auto-detection and flagging of restatements, accounting policy changes, and one-time items</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1.2 Profitability Metrics</w:t>
      </w:r>
    </w:p>
    <w:p>
      <w:pPr>
        <w:pStyle w:val="ListParagraph"/>
        <w:numPr>
          <w:ilvl w:val="0"/>
          <w:numId w:val="3"/>
        </w:numPr>
        <w:spacing w:after="40" w:before="40"/>
      </w:pPr>
      <w:r>
        <w:rPr>
          <w:rFonts w:ascii="Arial" w:cs="Arial" w:eastAsia="Arial" w:hAnsi="Arial"/>
          <w:color w:val="111111"/>
          <w:sz w:val="22"/>
          <w:szCs w:val="22"/>
        </w:rPr>
        <w:t xml:space="preserve">Revenue Growth (QoQ, YoY, 3-year CAGR, 5-year CAGR) with trend direction</w:t>
      </w:r>
    </w:p>
    <w:p>
      <w:pPr>
        <w:pStyle w:val="ListParagraph"/>
        <w:numPr>
          <w:ilvl w:val="0"/>
          <w:numId w:val="3"/>
        </w:numPr>
        <w:spacing w:after="40" w:before="40"/>
      </w:pPr>
      <w:r>
        <w:rPr>
          <w:rFonts w:ascii="Arial" w:cs="Arial" w:eastAsia="Arial" w:hAnsi="Arial"/>
          <w:color w:val="111111"/>
          <w:sz w:val="22"/>
          <w:szCs w:val="22"/>
        </w:rPr>
        <w:t xml:space="preserve">EBITDA and EBITDA Margin (current, 5-year average, vs sector median)</w:t>
      </w:r>
    </w:p>
    <w:p>
      <w:pPr>
        <w:pStyle w:val="ListParagraph"/>
        <w:numPr>
          <w:ilvl w:val="0"/>
          <w:numId w:val="3"/>
        </w:numPr>
        <w:spacing w:after="40" w:before="40"/>
      </w:pPr>
      <w:r>
        <w:rPr>
          <w:rFonts w:ascii="Arial" w:cs="Arial" w:eastAsia="Arial" w:hAnsi="Arial"/>
          <w:color w:val="111111"/>
          <w:sz w:val="22"/>
          <w:szCs w:val="22"/>
        </w:rPr>
        <w:t xml:space="preserve">PAT and PAT Margin (same time horizons)</w:t>
      </w:r>
    </w:p>
    <w:p>
      <w:pPr>
        <w:pStyle w:val="ListParagraph"/>
        <w:numPr>
          <w:ilvl w:val="0"/>
          <w:numId w:val="3"/>
        </w:numPr>
        <w:spacing w:after="40" w:before="40"/>
      </w:pPr>
      <w:r>
        <w:rPr>
          <w:rFonts w:ascii="Arial" w:cs="Arial" w:eastAsia="Arial" w:hAnsi="Arial"/>
          <w:color w:val="111111"/>
          <w:sz w:val="22"/>
          <w:szCs w:val="22"/>
        </w:rPr>
        <w:t xml:space="preserve">Return on Equity (ROE), Return on Capital Employed (ROCE), Return on Assets (ROA)</w:t>
      </w:r>
    </w:p>
    <w:p>
      <w:pPr>
        <w:pStyle w:val="ListParagraph"/>
        <w:numPr>
          <w:ilvl w:val="0"/>
          <w:numId w:val="3"/>
        </w:numPr>
        <w:spacing w:after="40" w:before="40"/>
      </w:pPr>
      <w:r>
        <w:rPr>
          <w:rFonts w:ascii="Arial" w:cs="Arial" w:eastAsia="Arial" w:hAnsi="Arial"/>
          <w:color w:val="111111"/>
          <w:sz w:val="22"/>
          <w:szCs w:val="22"/>
        </w:rPr>
        <w:t xml:space="preserve">Asset Turnover Ratio and Working Capital Efficiency metrics</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1.3 Balance Sheet Quality</w:t>
      </w:r>
    </w:p>
    <w:p>
      <w:pPr>
        <w:pStyle w:val="ListParagraph"/>
        <w:numPr>
          <w:ilvl w:val="0"/>
          <w:numId w:val="3"/>
        </w:numPr>
        <w:spacing w:after="40" w:before="40"/>
      </w:pPr>
      <w:r>
        <w:rPr>
          <w:rFonts w:ascii="Arial" w:cs="Arial" w:eastAsia="Arial" w:hAnsi="Arial"/>
          <w:color w:val="111111"/>
          <w:sz w:val="22"/>
          <w:szCs w:val="22"/>
        </w:rPr>
        <w:t xml:space="preserve">Debt-to-Equity Ratio (current and trend)</w:t>
      </w:r>
    </w:p>
    <w:p>
      <w:pPr>
        <w:pStyle w:val="ListParagraph"/>
        <w:numPr>
          <w:ilvl w:val="0"/>
          <w:numId w:val="3"/>
        </w:numPr>
        <w:spacing w:after="40" w:before="40"/>
      </w:pPr>
      <w:r>
        <w:rPr>
          <w:rFonts w:ascii="Arial" w:cs="Arial" w:eastAsia="Arial" w:hAnsi="Arial"/>
          <w:color w:val="111111"/>
          <w:sz w:val="22"/>
          <w:szCs w:val="22"/>
        </w:rPr>
        <w:t xml:space="preserve">Net Debt / EBITDA multiple</w:t>
      </w:r>
    </w:p>
    <w:p>
      <w:pPr>
        <w:pStyle w:val="ListParagraph"/>
        <w:numPr>
          <w:ilvl w:val="0"/>
          <w:numId w:val="3"/>
        </w:numPr>
        <w:spacing w:after="40" w:before="40"/>
      </w:pPr>
      <w:r>
        <w:rPr>
          <w:rFonts w:ascii="Arial" w:cs="Arial" w:eastAsia="Arial" w:hAnsi="Arial"/>
          <w:color w:val="111111"/>
          <w:sz w:val="22"/>
          <w:szCs w:val="22"/>
        </w:rPr>
        <w:t xml:space="preserve">Current Ratio and Quick Ratio for liquidity assessment</w:t>
      </w:r>
    </w:p>
    <w:p>
      <w:pPr>
        <w:pStyle w:val="ListParagraph"/>
        <w:numPr>
          <w:ilvl w:val="0"/>
          <w:numId w:val="3"/>
        </w:numPr>
        <w:spacing w:after="40" w:before="40"/>
      </w:pPr>
      <w:r>
        <w:rPr>
          <w:rFonts w:ascii="Arial" w:cs="Arial" w:eastAsia="Arial" w:hAnsi="Arial"/>
          <w:color w:val="111111"/>
          <w:sz w:val="22"/>
          <w:szCs w:val="22"/>
        </w:rPr>
        <w:t xml:space="preserve">Goodwill and Intangibles as percentage of total assets (flag if excessive)</w:t>
      </w:r>
    </w:p>
    <w:p>
      <w:pPr>
        <w:pStyle w:val="ListParagraph"/>
        <w:numPr>
          <w:ilvl w:val="0"/>
          <w:numId w:val="3"/>
        </w:numPr>
        <w:spacing w:after="40" w:before="40"/>
      </w:pPr>
      <w:r>
        <w:rPr>
          <w:rFonts w:ascii="Arial" w:cs="Arial" w:eastAsia="Arial" w:hAnsi="Arial"/>
          <w:color w:val="111111"/>
          <w:sz w:val="22"/>
          <w:szCs w:val="22"/>
        </w:rPr>
        <w:t xml:space="preserve">Off-balance-sheet exposure scan from notes to accounts</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1.4 Cash Flow Analysis</w:t>
      </w:r>
    </w:p>
    <w:p>
      <w:pPr>
        <w:pStyle w:val="ListParagraph"/>
        <w:numPr>
          <w:ilvl w:val="0"/>
          <w:numId w:val="3"/>
        </w:numPr>
        <w:spacing w:after="40" w:before="40"/>
      </w:pPr>
      <w:r>
        <w:rPr>
          <w:rFonts w:ascii="Arial" w:cs="Arial" w:eastAsia="Arial" w:hAnsi="Arial"/>
          <w:color w:val="111111"/>
          <w:sz w:val="22"/>
          <w:szCs w:val="22"/>
        </w:rPr>
        <w:t xml:space="preserve">Free Cash Flow (FCF) generation: Operating CF minus Capex</w:t>
      </w:r>
    </w:p>
    <w:p>
      <w:pPr>
        <w:pStyle w:val="ListParagraph"/>
        <w:numPr>
          <w:ilvl w:val="0"/>
          <w:numId w:val="3"/>
        </w:numPr>
        <w:spacing w:after="40" w:before="40"/>
      </w:pPr>
      <w:r>
        <w:rPr>
          <w:rFonts w:ascii="Arial" w:cs="Arial" w:eastAsia="Arial" w:hAnsi="Arial"/>
          <w:color w:val="111111"/>
          <w:sz w:val="22"/>
          <w:szCs w:val="22"/>
        </w:rPr>
        <w:t xml:space="preserve">FCF Yield (FCF per share / current price)</w:t>
      </w:r>
    </w:p>
    <w:p>
      <w:pPr>
        <w:pStyle w:val="ListParagraph"/>
        <w:numPr>
          <w:ilvl w:val="0"/>
          <w:numId w:val="3"/>
        </w:numPr>
        <w:spacing w:after="40" w:before="40"/>
      </w:pPr>
      <w:r>
        <w:rPr>
          <w:rFonts w:ascii="Arial" w:cs="Arial" w:eastAsia="Arial" w:hAnsi="Arial"/>
          <w:color w:val="111111"/>
          <w:sz w:val="22"/>
          <w:szCs w:val="22"/>
        </w:rPr>
        <w:t xml:space="preserve">Cash Conversion Cycle: Debtor days, Creditor days, Inventory days</w:t>
      </w:r>
    </w:p>
    <w:p>
      <w:pPr>
        <w:pStyle w:val="ListParagraph"/>
        <w:numPr>
          <w:ilvl w:val="0"/>
          <w:numId w:val="3"/>
        </w:numPr>
        <w:spacing w:after="40" w:before="40"/>
      </w:pPr>
      <w:r>
        <w:rPr>
          <w:rFonts w:ascii="Arial" w:cs="Arial" w:eastAsia="Arial" w:hAnsi="Arial"/>
          <w:color w:val="111111"/>
          <w:sz w:val="22"/>
          <w:szCs w:val="22"/>
        </w:rPr>
        <w:t xml:space="preserve">Capex intensity: Maintenance capex vs growth capex classification</w:t>
      </w:r>
    </w:p>
    <w:p>
      <w:pPr>
        <w:pStyle w:val="ListParagraph"/>
        <w:numPr>
          <w:ilvl w:val="0"/>
          <w:numId w:val="3"/>
        </w:numPr>
        <w:spacing w:after="40" w:before="40"/>
      </w:pPr>
      <w:r>
        <w:rPr>
          <w:rFonts w:ascii="Arial" w:cs="Arial" w:eastAsia="Arial" w:hAnsi="Arial"/>
          <w:color w:val="111111"/>
          <w:sz w:val="22"/>
          <w:szCs w:val="22"/>
        </w:rPr>
        <w:t xml:space="preserve">Dividend payout ratio and dividend growth history</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1.5 Relative Valuation</w:t>
      </w:r>
    </w:p>
    <w:p>
      <w:pPr>
        <w:pStyle w:val="ListParagraph"/>
        <w:numPr>
          <w:ilvl w:val="0"/>
          <w:numId w:val="3"/>
        </w:numPr>
        <w:spacing w:after="40" w:before="40"/>
      </w:pPr>
      <w:r>
        <w:rPr>
          <w:rFonts w:ascii="Arial" w:cs="Arial" w:eastAsia="Arial" w:hAnsi="Arial"/>
          <w:color w:val="111111"/>
          <w:sz w:val="22"/>
          <w:szCs w:val="22"/>
        </w:rPr>
        <w:t xml:space="preserve">P/E Ratio vs own 5-year average, vs sector median, vs Nifty50 median</w:t>
      </w:r>
    </w:p>
    <w:p>
      <w:pPr>
        <w:pStyle w:val="ListParagraph"/>
        <w:numPr>
          <w:ilvl w:val="0"/>
          <w:numId w:val="3"/>
        </w:numPr>
        <w:spacing w:after="40" w:before="40"/>
      </w:pPr>
      <w:r>
        <w:rPr>
          <w:rFonts w:ascii="Arial" w:cs="Arial" w:eastAsia="Arial" w:hAnsi="Arial"/>
          <w:color w:val="111111"/>
          <w:sz w:val="22"/>
          <w:szCs w:val="22"/>
        </w:rPr>
        <w:t xml:space="preserve">EV/EBITDA, P/B, P/FCF, EV/Sales multiples with the same comparative framework</w:t>
      </w:r>
    </w:p>
    <w:p>
      <w:pPr>
        <w:pStyle w:val="ListParagraph"/>
        <w:numPr>
          <w:ilvl w:val="0"/>
          <w:numId w:val="3"/>
        </w:numPr>
        <w:spacing w:after="40" w:before="40"/>
      </w:pPr>
      <w:r>
        <w:rPr>
          <w:rFonts w:ascii="Arial" w:cs="Arial" w:eastAsia="Arial" w:hAnsi="Arial"/>
          <w:color w:val="111111"/>
          <w:sz w:val="22"/>
          <w:szCs w:val="22"/>
        </w:rPr>
        <w:t xml:space="preserve">PEG Ratio (P/E divided by earnings growth rate)</w:t>
      </w:r>
    </w:p>
    <w:p>
      <w:pPr>
        <w:pStyle w:val="ListParagraph"/>
        <w:numPr>
          <w:ilvl w:val="0"/>
          <w:numId w:val="3"/>
        </w:numPr>
        <w:spacing w:after="40" w:before="40"/>
      </w:pPr>
      <w:r>
        <w:rPr>
          <w:rFonts w:ascii="Arial" w:cs="Arial" w:eastAsia="Arial" w:hAnsi="Arial"/>
          <w:color w:val="111111"/>
          <w:sz w:val="22"/>
          <w:szCs w:val="22"/>
        </w:rPr>
        <w:t xml:space="preserve">Earnings yield (inverse of P/E) vs 10-year G-Sec yield as equity risk premium gauge</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Layer 2: Automated DCF Valuation Engine</w:t>
      </w:r>
    </w:p>
    <w:p>
      <w:pPr>
        <w:spacing w:after="60" w:before="60"/>
      </w:pPr>
      <w:r>
        <w:rPr>
          <w:rFonts w:ascii="Arial" w:cs="Arial" w:eastAsia="Arial" w:hAnsi="Arial"/>
          <w:color w:val="111111"/>
          <w:sz w:val="22"/>
          <w:szCs w:val="22"/>
        </w:rPr>
        <w:t xml:space="preserve">Purpose: Calculate the intrinsic value of the stock using a discounted cash flow model, with scenario analysis.</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2.1 Base Model Construction</w:t>
      </w:r>
    </w:p>
    <w:p>
      <w:pPr>
        <w:pStyle w:val="ListParagraph"/>
        <w:numPr>
          <w:ilvl w:val="0"/>
          <w:numId w:val="3"/>
        </w:numPr>
        <w:spacing w:after="40" w:before="40"/>
      </w:pPr>
      <w:r>
        <w:rPr>
          <w:rFonts w:ascii="Arial" w:cs="Arial" w:eastAsia="Arial" w:hAnsi="Arial"/>
          <w:color w:val="111111"/>
          <w:sz w:val="22"/>
          <w:szCs w:val="22"/>
        </w:rPr>
        <w:t xml:space="preserve">Revenue projections built from: order book visibility, management guidance (from filings/calls), analyst consensus, and sector growth rates</w:t>
      </w:r>
    </w:p>
    <w:p>
      <w:pPr>
        <w:pStyle w:val="ListParagraph"/>
        <w:numPr>
          <w:ilvl w:val="0"/>
          <w:numId w:val="3"/>
        </w:numPr>
        <w:spacing w:after="40" w:before="40"/>
      </w:pPr>
      <w:r>
        <w:rPr>
          <w:rFonts w:ascii="Arial" w:cs="Arial" w:eastAsia="Arial" w:hAnsi="Arial"/>
          <w:color w:val="111111"/>
          <w:sz w:val="22"/>
          <w:szCs w:val="22"/>
        </w:rPr>
        <w:t xml:space="preserve">EBITDA margin projection based on operating leverage model and historical margin trajectory</w:t>
      </w:r>
    </w:p>
    <w:p>
      <w:pPr>
        <w:pStyle w:val="ListParagraph"/>
        <w:numPr>
          <w:ilvl w:val="0"/>
          <w:numId w:val="3"/>
        </w:numPr>
        <w:spacing w:after="40" w:before="40"/>
      </w:pPr>
      <w:r>
        <w:rPr>
          <w:rFonts w:ascii="Arial" w:cs="Arial" w:eastAsia="Arial" w:hAnsi="Arial"/>
          <w:color w:val="111111"/>
          <w:sz w:val="22"/>
          <w:szCs w:val="22"/>
        </w:rPr>
        <w:t xml:space="preserve">Capex forecasting based on announced projects, sector norms, and asset age analysis</w:t>
      </w:r>
    </w:p>
    <w:p>
      <w:pPr>
        <w:pStyle w:val="ListParagraph"/>
        <w:numPr>
          <w:ilvl w:val="0"/>
          <w:numId w:val="3"/>
        </w:numPr>
        <w:spacing w:after="40" w:before="40"/>
      </w:pPr>
      <w:r>
        <w:rPr>
          <w:rFonts w:ascii="Arial" w:cs="Arial" w:eastAsia="Arial" w:hAnsi="Arial"/>
          <w:color w:val="111111"/>
          <w:sz w:val="22"/>
          <w:szCs w:val="22"/>
        </w:rPr>
        <w:t xml:space="preserve">Working capital changes modelled from historical cash conversion cycle trends</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2.2 WACC Calculation</w:t>
      </w:r>
    </w:p>
    <w:p>
      <w:pPr>
        <w:pStyle w:val="ListParagraph"/>
        <w:numPr>
          <w:ilvl w:val="0"/>
          <w:numId w:val="3"/>
        </w:numPr>
        <w:spacing w:after="40" w:before="40"/>
      </w:pPr>
      <w:r>
        <w:rPr>
          <w:rFonts w:ascii="Arial" w:cs="Arial" w:eastAsia="Arial" w:hAnsi="Arial"/>
          <w:color w:val="111111"/>
          <w:sz w:val="22"/>
          <w:szCs w:val="22"/>
        </w:rPr>
        <w:t xml:space="preserve">Cost of Equity: Risk-Free Rate (current 10Y G-Sec yield) + Beta x Equity Risk Premium</w:t>
      </w:r>
    </w:p>
    <w:p>
      <w:pPr>
        <w:pStyle w:val="ListParagraph"/>
        <w:numPr>
          <w:ilvl w:val="0"/>
          <w:numId w:val="3"/>
        </w:numPr>
        <w:spacing w:after="40" w:before="40"/>
      </w:pPr>
      <w:r>
        <w:rPr>
          <w:rFonts w:ascii="Arial" w:cs="Arial" w:eastAsia="Arial" w:hAnsi="Arial"/>
          <w:color w:val="111111"/>
          <w:sz w:val="22"/>
          <w:szCs w:val="22"/>
        </w:rPr>
        <w:t xml:space="preserve">Beta calculated on 3-year weekly returns against Nifty500</w:t>
      </w:r>
    </w:p>
    <w:p>
      <w:pPr>
        <w:pStyle w:val="ListParagraph"/>
        <w:numPr>
          <w:ilvl w:val="0"/>
          <w:numId w:val="3"/>
        </w:numPr>
        <w:spacing w:after="40" w:before="40"/>
      </w:pPr>
      <w:r>
        <w:rPr>
          <w:rFonts w:ascii="Arial" w:cs="Arial" w:eastAsia="Arial" w:hAnsi="Arial"/>
          <w:color w:val="111111"/>
          <w:sz w:val="22"/>
          <w:szCs w:val="22"/>
        </w:rPr>
        <w:t xml:space="preserve">Cost of Debt: Weighted average interest rate from annual report notes</w:t>
      </w:r>
    </w:p>
    <w:p>
      <w:pPr>
        <w:pStyle w:val="ListParagraph"/>
        <w:numPr>
          <w:ilvl w:val="0"/>
          <w:numId w:val="3"/>
        </w:numPr>
        <w:spacing w:after="40" w:before="40"/>
      </w:pPr>
      <w:r>
        <w:rPr>
          <w:rFonts w:ascii="Arial" w:cs="Arial" w:eastAsia="Arial" w:hAnsi="Arial"/>
          <w:color w:val="111111"/>
          <w:sz w:val="22"/>
          <w:szCs w:val="22"/>
        </w:rPr>
        <w:t xml:space="preserve">Capital structure from latest balance sheet for D/E weighting</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2.3 Three-Scenario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252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Bear Case</w:t>
            </w:r>
          </w:p>
        </w:tc>
        <w:tc>
          <w:tcPr>
            <w:tcW w:type="dxa" w:w="252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 Case</w:t>
            </w:r>
          </w:p>
        </w:tc>
        <w:tc>
          <w:tcPr>
            <w:tcW w:type="dxa" w:w="252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Bull Case</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Revenue CAGR</w:t>
            </w:r>
          </w:p>
        </w:tc>
        <w:tc>
          <w:tcPr>
            <w:tcW w:type="dxa" w:w="25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5-yr avg x 0.7</w:t>
            </w:r>
          </w:p>
        </w:tc>
        <w:tc>
          <w:tcPr>
            <w:tcW w:type="dxa" w:w="25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Consensus estimate</w:t>
            </w:r>
          </w:p>
        </w:tc>
        <w:tc>
          <w:tcPr>
            <w:tcW w:type="dxa" w:w="25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Order book + sector tailwind</w:t>
            </w:r>
          </w:p>
        </w:tc>
      </w:tr>
      <w:tr>
        <w:tc>
          <w:tcPr>
            <w:tcW w:type="dxa" w:w="18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EBITDA Margin</w:t>
            </w:r>
          </w:p>
        </w:tc>
        <w:tc>
          <w:tcPr>
            <w:tcW w:type="dxa" w:w="25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Compression by 150bps</w:t>
            </w:r>
          </w:p>
        </w:tc>
        <w:tc>
          <w:tcPr>
            <w:tcW w:type="dxa" w:w="25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Stable at current level</w:t>
            </w:r>
          </w:p>
        </w:tc>
        <w:tc>
          <w:tcPr>
            <w:tcW w:type="dxa" w:w="25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Expansion by 100-200bps</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Terminal Growth</w:t>
            </w:r>
          </w:p>
        </w:tc>
        <w:tc>
          <w:tcPr>
            <w:tcW w:type="dxa" w:w="25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4%</w:t>
            </w:r>
          </w:p>
        </w:tc>
        <w:tc>
          <w:tcPr>
            <w:tcW w:type="dxa" w:w="25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5.5%</w:t>
            </w:r>
          </w:p>
        </w:tc>
        <w:tc>
          <w:tcPr>
            <w:tcW w:type="dxa" w:w="25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7%</w:t>
            </w:r>
          </w:p>
        </w:tc>
      </w:tr>
      <w:tr>
        <w:tc>
          <w:tcPr>
            <w:tcW w:type="dxa" w:w="18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WACC</w:t>
            </w:r>
          </w:p>
        </w:tc>
        <w:tc>
          <w:tcPr>
            <w:tcW w:type="dxa" w:w="25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+150bps above base</w:t>
            </w:r>
          </w:p>
        </w:tc>
        <w:tc>
          <w:tcPr>
            <w:tcW w:type="dxa" w:w="25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Current calculated WACC</w:t>
            </w:r>
          </w:p>
        </w:tc>
        <w:tc>
          <w:tcPr>
            <w:tcW w:type="dxa" w:w="25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-100bps below base</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Exit Multiple</w:t>
            </w:r>
          </w:p>
        </w:tc>
        <w:tc>
          <w:tcPr>
            <w:tcW w:type="dxa" w:w="25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 turn on EV/EBITDA</w:t>
            </w:r>
          </w:p>
        </w:tc>
        <w:tc>
          <w:tcPr>
            <w:tcW w:type="dxa" w:w="25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Sector median</w:t>
            </w:r>
          </w:p>
        </w:tc>
        <w:tc>
          <w:tcPr>
            <w:tcW w:type="dxa" w:w="25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 turn on EV/EBITDA</w:t>
            </w:r>
          </w:p>
        </w:tc>
      </w:tr>
    </w:tbl>
    <w:p>
      <w:pPr>
        <w:spacing w:after="0" w:before="120"/>
      </w:pPr>
      <w:r>
        <w:t xml:space="preserve"/>
      </w:r>
    </w:p>
    <w:p>
      <w:pPr>
        <w:pStyle w:val="Heading3"/>
        <w:spacing w:after="80" w:before="200"/>
      </w:pPr>
      <w:r>
        <w:rPr>
          <w:rFonts w:ascii="Arial" w:cs="Arial" w:eastAsia="Arial" w:hAnsi="Arial"/>
          <w:b/>
          <w:bCs/>
          <w:color w:val="0D2B45"/>
          <w:sz w:val="24"/>
          <w:szCs w:val="24"/>
        </w:rPr>
        <w:t xml:space="preserve">2.4 Sensitivity Table</w:t>
      </w:r>
    </w:p>
    <w:p>
      <w:pPr>
        <w:pStyle w:val="ListParagraph"/>
        <w:numPr>
          <w:ilvl w:val="0"/>
          <w:numId w:val="3"/>
        </w:numPr>
        <w:spacing w:after="40" w:before="40"/>
      </w:pPr>
      <w:r>
        <w:rPr>
          <w:rFonts w:ascii="Arial" w:cs="Arial" w:eastAsia="Arial" w:hAnsi="Arial"/>
          <w:color w:val="111111"/>
          <w:sz w:val="22"/>
          <w:szCs w:val="22"/>
        </w:rPr>
        <w:t xml:space="preserve">2-axis sensitivity: WACC (rows) x Terminal Growth Rate (columns)</w:t>
      </w:r>
    </w:p>
    <w:p>
      <w:pPr>
        <w:pStyle w:val="ListParagraph"/>
        <w:numPr>
          <w:ilvl w:val="0"/>
          <w:numId w:val="3"/>
        </w:numPr>
        <w:spacing w:after="40" w:before="40"/>
      </w:pPr>
      <w:r>
        <w:rPr>
          <w:rFonts w:ascii="Arial" w:cs="Arial" w:eastAsia="Arial" w:hAnsi="Arial"/>
          <w:color w:val="111111"/>
          <w:sz w:val="22"/>
          <w:szCs w:val="22"/>
        </w:rPr>
        <w:t xml:space="preserve">Outputs intrinsic value per share for every combination</w:t>
      </w:r>
    </w:p>
    <w:p>
      <w:pPr>
        <w:pStyle w:val="ListParagraph"/>
        <w:numPr>
          <w:ilvl w:val="0"/>
          <w:numId w:val="3"/>
        </w:numPr>
        <w:spacing w:after="40" w:before="40"/>
      </w:pPr>
      <w:r>
        <w:rPr>
          <w:rFonts w:ascii="Arial" w:cs="Arial" w:eastAsia="Arial" w:hAnsi="Arial"/>
          <w:color w:val="111111"/>
          <w:sz w:val="22"/>
          <w:szCs w:val="22"/>
        </w:rPr>
        <w:t xml:space="preserve">Current market price overlaid to show margin of safety across scenarios</w:t>
      </w:r>
    </w:p>
    <w:p>
      <w:pPr>
        <w:pStyle w:val="ListParagraph"/>
        <w:numPr>
          <w:ilvl w:val="0"/>
          <w:numId w:val="3"/>
        </w:numPr>
        <w:spacing w:after="40" w:before="40"/>
      </w:pPr>
      <w:r>
        <w:rPr>
          <w:rFonts w:ascii="Arial" w:cs="Arial" w:eastAsia="Arial" w:hAnsi="Arial"/>
          <w:color w:val="111111"/>
          <w:sz w:val="22"/>
          <w:szCs w:val="22"/>
        </w:rPr>
        <w:t xml:space="preserve">Upside/Downside percentage automatically calculated for each cell</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Layer 3: Technical &amp; Quantitative Signal Engine</w:t>
      </w:r>
    </w:p>
    <w:p>
      <w:pPr>
        <w:spacing w:after="60" w:before="60"/>
      </w:pPr>
      <w:r>
        <w:rPr>
          <w:rFonts w:ascii="Arial" w:cs="Arial" w:eastAsia="Arial" w:hAnsi="Arial"/>
          <w:color w:val="111111"/>
          <w:sz w:val="22"/>
          <w:szCs w:val="22"/>
        </w:rPr>
        <w:t xml:space="preserve">Purpose: Identify price momentum, trend strength, support/resistance levels, and quantitative multi-factor signals.</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3.1 Price &amp; Trend Indicators</w:t>
      </w:r>
    </w:p>
    <w:p>
      <w:pPr>
        <w:pStyle w:val="ListParagraph"/>
        <w:numPr>
          <w:ilvl w:val="0"/>
          <w:numId w:val="3"/>
        </w:numPr>
        <w:spacing w:after="40" w:before="40"/>
      </w:pPr>
      <w:r>
        <w:rPr>
          <w:rFonts w:ascii="Arial" w:cs="Arial" w:eastAsia="Arial" w:hAnsi="Arial"/>
          <w:color w:val="111111"/>
          <w:sz w:val="22"/>
          <w:szCs w:val="22"/>
        </w:rPr>
        <w:t xml:space="preserve">Simple and Exponential Moving Averages: 20D, 50D, 100D, 200D EMA/SMA</w:t>
      </w:r>
    </w:p>
    <w:p>
      <w:pPr>
        <w:pStyle w:val="ListParagraph"/>
        <w:numPr>
          <w:ilvl w:val="0"/>
          <w:numId w:val="3"/>
        </w:numPr>
        <w:spacing w:after="40" w:before="40"/>
      </w:pPr>
      <w:r>
        <w:rPr>
          <w:rFonts w:ascii="Arial" w:cs="Arial" w:eastAsia="Arial" w:hAnsi="Arial"/>
          <w:color w:val="111111"/>
          <w:sz w:val="22"/>
          <w:szCs w:val="22"/>
        </w:rPr>
        <w:t xml:space="preserve">Golden Cross / Death Cross detection with date and price context</w:t>
      </w:r>
    </w:p>
    <w:p>
      <w:pPr>
        <w:pStyle w:val="ListParagraph"/>
        <w:numPr>
          <w:ilvl w:val="0"/>
          <w:numId w:val="3"/>
        </w:numPr>
        <w:spacing w:after="40" w:before="40"/>
      </w:pPr>
      <w:r>
        <w:rPr>
          <w:rFonts w:ascii="Arial" w:cs="Arial" w:eastAsia="Arial" w:hAnsi="Arial"/>
          <w:color w:val="111111"/>
          <w:sz w:val="22"/>
          <w:szCs w:val="22"/>
        </w:rPr>
        <w:t xml:space="preserve">Price relative to 52-week high and low (where in the range currently)</w:t>
      </w:r>
    </w:p>
    <w:p>
      <w:pPr>
        <w:pStyle w:val="ListParagraph"/>
        <w:numPr>
          <w:ilvl w:val="0"/>
          <w:numId w:val="3"/>
        </w:numPr>
        <w:spacing w:after="40" w:before="40"/>
      </w:pPr>
      <w:r>
        <w:rPr>
          <w:rFonts w:ascii="Arial" w:cs="Arial" w:eastAsia="Arial" w:hAnsi="Arial"/>
          <w:color w:val="111111"/>
          <w:sz w:val="22"/>
          <w:szCs w:val="22"/>
        </w:rPr>
        <w:t xml:space="preserve">Rate of Change (ROC) over 1M, 3M, 6M, 12M periods</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3.2 Momentum &amp; Oscillators</w:t>
      </w:r>
    </w:p>
    <w:p>
      <w:pPr>
        <w:pStyle w:val="ListParagraph"/>
        <w:numPr>
          <w:ilvl w:val="0"/>
          <w:numId w:val="3"/>
        </w:numPr>
        <w:spacing w:after="40" w:before="40"/>
      </w:pPr>
      <w:r>
        <w:rPr>
          <w:rFonts w:ascii="Arial" w:cs="Arial" w:eastAsia="Arial" w:hAnsi="Arial"/>
          <w:color w:val="111111"/>
          <w:sz w:val="22"/>
          <w:szCs w:val="22"/>
        </w:rPr>
        <w:t xml:space="preserve">RSI (14-day) with overbought (&gt;70) and oversold (&lt;30) zone flags</w:t>
      </w:r>
    </w:p>
    <w:p>
      <w:pPr>
        <w:pStyle w:val="ListParagraph"/>
        <w:numPr>
          <w:ilvl w:val="0"/>
          <w:numId w:val="3"/>
        </w:numPr>
        <w:spacing w:after="40" w:before="40"/>
      </w:pPr>
      <w:r>
        <w:rPr>
          <w:rFonts w:ascii="Arial" w:cs="Arial" w:eastAsia="Arial" w:hAnsi="Arial"/>
          <w:color w:val="111111"/>
          <w:sz w:val="22"/>
          <w:szCs w:val="22"/>
        </w:rPr>
        <w:t xml:space="preserve">MACD: Line, Signal line, and Histogram with crossover alerts</w:t>
      </w:r>
    </w:p>
    <w:p>
      <w:pPr>
        <w:pStyle w:val="ListParagraph"/>
        <w:numPr>
          <w:ilvl w:val="0"/>
          <w:numId w:val="3"/>
        </w:numPr>
        <w:spacing w:after="40" w:before="40"/>
      </w:pPr>
      <w:r>
        <w:rPr>
          <w:rFonts w:ascii="Arial" w:cs="Arial" w:eastAsia="Arial" w:hAnsi="Arial"/>
          <w:color w:val="111111"/>
          <w:sz w:val="22"/>
          <w:szCs w:val="22"/>
        </w:rPr>
        <w:t xml:space="preserve">Stochastic Oscillator %K and %D</w:t>
      </w:r>
    </w:p>
    <w:p>
      <w:pPr>
        <w:pStyle w:val="ListParagraph"/>
        <w:numPr>
          <w:ilvl w:val="0"/>
          <w:numId w:val="3"/>
        </w:numPr>
        <w:spacing w:after="40" w:before="40"/>
      </w:pPr>
      <w:r>
        <w:rPr>
          <w:rFonts w:ascii="Arial" w:cs="Arial" w:eastAsia="Arial" w:hAnsi="Arial"/>
          <w:color w:val="111111"/>
          <w:sz w:val="22"/>
          <w:szCs w:val="22"/>
        </w:rPr>
        <w:t xml:space="preserve">Bollinger Bands: Band width, position within bands, squeeze detection</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3.3 Volume Analysis</w:t>
      </w:r>
    </w:p>
    <w:p>
      <w:pPr>
        <w:pStyle w:val="ListParagraph"/>
        <w:numPr>
          <w:ilvl w:val="0"/>
          <w:numId w:val="3"/>
        </w:numPr>
        <w:spacing w:after="40" w:before="40"/>
      </w:pPr>
      <w:r>
        <w:rPr>
          <w:rFonts w:ascii="Arial" w:cs="Arial" w:eastAsia="Arial" w:hAnsi="Arial"/>
          <w:color w:val="111111"/>
          <w:sz w:val="22"/>
          <w:szCs w:val="22"/>
        </w:rPr>
        <w:t xml:space="preserve">Volume vs 20D average volume ratio</w:t>
      </w:r>
    </w:p>
    <w:p>
      <w:pPr>
        <w:pStyle w:val="ListParagraph"/>
        <w:numPr>
          <w:ilvl w:val="0"/>
          <w:numId w:val="3"/>
        </w:numPr>
        <w:spacing w:after="40" w:before="40"/>
      </w:pPr>
      <w:r>
        <w:rPr>
          <w:rFonts w:ascii="Arial" w:cs="Arial" w:eastAsia="Arial" w:hAnsi="Arial"/>
          <w:color w:val="111111"/>
          <w:sz w:val="22"/>
          <w:szCs w:val="22"/>
        </w:rPr>
        <w:t xml:space="preserve">On-Balance Volume (OBV) trend</w:t>
      </w:r>
    </w:p>
    <w:p>
      <w:pPr>
        <w:pStyle w:val="ListParagraph"/>
        <w:numPr>
          <w:ilvl w:val="0"/>
          <w:numId w:val="3"/>
        </w:numPr>
        <w:spacing w:after="40" w:before="40"/>
      </w:pPr>
      <w:r>
        <w:rPr>
          <w:rFonts w:ascii="Arial" w:cs="Arial" w:eastAsia="Arial" w:hAnsi="Arial"/>
          <w:color w:val="111111"/>
          <w:sz w:val="22"/>
          <w:szCs w:val="22"/>
        </w:rPr>
        <w:t xml:space="preserve">Delivery volume percentage from NSE data (high delivery = institutional conviction)</w:t>
      </w:r>
    </w:p>
    <w:p>
      <w:pPr>
        <w:pStyle w:val="ListParagraph"/>
        <w:numPr>
          <w:ilvl w:val="0"/>
          <w:numId w:val="3"/>
        </w:numPr>
        <w:spacing w:after="40" w:before="40"/>
      </w:pPr>
      <w:r>
        <w:rPr>
          <w:rFonts w:ascii="Arial" w:cs="Arial" w:eastAsia="Arial" w:hAnsi="Arial"/>
          <w:color w:val="111111"/>
          <w:sz w:val="22"/>
          <w:szCs w:val="22"/>
        </w:rPr>
        <w:t xml:space="preserve">Block deal and bulk deal tracking with buyer/seller identity</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3.4 F&amp;O Signals (Derivatives Intelligence)</w:t>
      </w:r>
    </w:p>
    <w:p>
      <w:pPr>
        <w:pStyle w:val="ListParagraph"/>
        <w:numPr>
          <w:ilvl w:val="0"/>
          <w:numId w:val="3"/>
        </w:numPr>
        <w:spacing w:after="40" w:before="40"/>
      </w:pPr>
      <w:r>
        <w:rPr>
          <w:rFonts w:ascii="Arial" w:cs="Arial" w:eastAsia="Arial" w:hAnsi="Arial"/>
          <w:color w:val="111111"/>
          <w:sz w:val="22"/>
          <w:szCs w:val="22"/>
        </w:rPr>
        <w:t xml:space="preserve">Open Interest: Total OI trend, OI change on price move (bullish vs bearish interpretation)</w:t>
      </w:r>
    </w:p>
    <w:p>
      <w:pPr>
        <w:pStyle w:val="ListParagraph"/>
        <w:numPr>
          <w:ilvl w:val="0"/>
          <w:numId w:val="3"/>
        </w:numPr>
        <w:spacing w:after="40" w:before="40"/>
      </w:pPr>
      <w:r>
        <w:rPr>
          <w:rFonts w:ascii="Arial" w:cs="Arial" w:eastAsia="Arial" w:hAnsi="Arial"/>
          <w:color w:val="111111"/>
          <w:sz w:val="22"/>
          <w:szCs w:val="22"/>
        </w:rPr>
        <w:t xml:space="preserve">Put-Call Ratio (PCR) at stock and sector level</w:t>
      </w:r>
    </w:p>
    <w:p>
      <w:pPr>
        <w:pStyle w:val="ListParagraph"/>
        <w:numPr>
          <w:ilvl w:val="0"/>
          <w:numId w:val="3"/>
        </w:numPr>
        <w:spacing w:after="40" w:before="40"/>
      </w:pPr>
      <w:r>
        <w:rPr>
          <w:rFonts w:ascii="Arial" w:cs="Arial" w:eastAsia="Arial" w:hAnsi="Arial"/>
          <w:color w:val="111111"/>
          <w:sz w:val="22"/>
          <w:szCs w:val="22"/>
        </w:rPr>
        <w:t xml:space="preserve">Max Pain price for the current expiry</w:t>
      </w:r>
    </w:p>
    <w:p>
      <w:pPr>
        <w:pStyle w:val="ListParagraph"/>
        <w:numPr>
          <w:ilvl w:val="0"/>
          <w:numId w:val="3"/>
        </w:numPr>
        <w:spacing w:after="40" w:before="40"/>
      </w:pPr>
      <w:r>
        <w:rPr>
          <w:rFonts w:ascii="Arial" w:cs="Arial" w:eastAsia="Arial" w:hAnsi="Arial"/>
          <w:color w:val="111111"/>
          <w:sz w:val="22"/>
          <w:szCs w:val="22"/>
        </w:rPr>
        <w:t xml:space="preserve">Implied Volatility (IV) vs Historical Volatility (HV) — flag when IV is significantly elevated</w:t>
      </w:r>
    </w:p>
    <w:p>
      <w:pPr>
        <w:pStyle w:val="ListParagraph"/>
        <w:numPr>
          <w:ilvl w:val="0"/>
          <w:numId w:val="3"/>
        </w:numPr>
        <w:spacing w:after="40" w:before="40"/>
      </w:pPr>
      <w:r>
        <w:rPr>
          <w:rFonts w:ascii="Arial" w:cs="Arial" w:eastAsia="Arial" w:hAnsi="Arial"/>
          <w:color w:val="111111"/>
          <w:sz w:val="22"/>
          <w:szCs w:val="22"/>
        </w:rPr>
        <w:t xml:space="preserve">FII and DII net positions in index futures as market sentiment indicator</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Layer 4: Real-Time News &amp; Sentiment Intelligence</w:t>
      </w:r>
    </w:p>
    <w:p>
      <w:pPr>
        <w:spacing w:after="60" w:before="60"/>
      </w:pPr>
      <w:r>
        <w:rPr>
          <w:rFonts w:ascii="Arial" w:cs="Arial" w:eastAsia="Arial" w:hAnsi="Arial"/>
          <w:color w:val="111111"/>
          <w:sz w:val="22"/>
          <w:szCs w:val="22"/>
        </w:rPr>
        <w:t xml:space="preserve">Purpose: Monitor and interpret all news, regulatory filings, and public information affecting the stock in real time with seconds-level latency.</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4.1 News Sources Monitored (Live Feed)</w:t>
      </w:r>
    </w:p>
    <w:p>
      <w:pPr>
        <w:pStyle w:val="ListParagraph"/>
        <w:numPr>
          <w:ilvl w:val="0"/>
          <w:numId w:val="3"/>
        </w:numPr>
        <w:spacing w:after="40" w:before="40"/>
      </w:pPr>
      <w:r>
        <w:rPr>
          <w:rFonts w:ascii="Arial" w:cs="Arial" w:eastAsia="Arial" w:hAnsi="Arial"/>
          <w:color w:val="111111"/>
          <w:sz w:val="22"/>
          <w:szCs w:val="22"/>
        </w:rPr>
        <w:t xml:space="preserve">Financial wires: Reuters, Bloomberg, PTI, ANI</w:t>
      </w:r>
    </w:p>
    <w:p>
      <w:pPr>
        <w:pStyle w:val="ListParagraph"/>
        <w:numPr>
          <w:ilvl w:val="0"/>
          <w:numId w:val="3"/>
        </w:numPr>
        <w:spacing w:after="40" w:before="40"/>
      </w:pPr>
      <w:r>
        <w:rPr>
          <w:rFonts w:ascii="Arial" w:cs="Arial" w:eastAsia="Arial" w:hAnsi="Arial"/>
          <w:color w:val="111111"/>
          <w:sz w:val="22"/>
          <w:szCs w:val="22"/>
        </w:rPr>
        <w:t xml:space="preserve">Indian financial media: Economic Times, Moneycontrol, Business Standard, Mint, CNBC TV18, Zee Business</w:t>
      </w:r>
    </w:p>
    <w:p>
      <w:pPr>
        <w:pStyle w:val="ListParagraph"/>
        <w:numPr>
          <w:ilvl w:val="0"/>
          <w:numId w:val="3"/>
        </w:numPr>
        <w:spacing w:after="40" w:before="40"/>
      </w:pPr>
      <w:r>
        <w:rPr>
          <w:rFonts w:ascii="Arial" w:cs="Arial" w:eastAsia="Arial" w:hAnsi="Arial"/>
          <w:color w:val="111111"/>
          <w:sz w:val="22"/>
          <w:szCs w:val="22"/>
        </w:rPr>
        <w:t xml:space="preserve">Regulatory portals: BSE Corporate Announcements, NSE Circular, SEBI Orders, MCA Filings, RBI Press</w:t>
      </w:r>
    </w:p>
    <w:p>
      <w:pPr>
        <w:pStyle w:val="ListParagraph"/>
        <w:numPr>
          <w:ilvl w:val="0"/>
          <w:numId w:val="3"/>
        </w:numPr>
        <w:spacing w:after="40" w:before="40"/>
      </w:pPr>
      <w:r>
        <w:rPr>
          <w:rFonts w:ascii="Arial" w:cs="Arial" w:eastAsia="Arial" w:hAnsi="Arial"/>
          <w:color w:val="111111"/>
          <w:sz w:val="22"/>
          <w:szCs w:val="22"/>
        </w:rPr>
        <w:t xml:space="preserve">International sources for macro and sector: FT, WSJ, South China Morning Post</w:t>
      </w:r>
    </w:p>
    <w:p>
      <w:pPr>
        <w:pStyle w:val="ListParagraph"/>
        <w:numPr>
          <w:ilvl w:val="0"/>
          <w:numId w:val="3"/>
        </w:numPr>
        <w:spacing w:after="40" w:before="40"/>
      </w:pPr>
      <w:r>
        <w:rPr>
          <w:rFonts w:ascii="Arial" w:cs="Arial" w:eastAsia="Arial" w:hAnsi="Arial"/>
          <w:color w:val="111111"/>
          <w:sz w:val="22"/>
          <w:szCs w:val="22"/>
        </w:rPr>
        <w:t xml:space="preserve">Company investor relations pages for press releases</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4.2 NLP Processing Pipeline</w:t>
      </w:r>
    </w:p>
    <w:p>
      <w:pPr>
        <w:pStyle w:val="ListParagraph"/>
        <w:numPr>
          <w:ilvl w:val="0"/>
          <w:numId w:val="2"/>
        </w:numPr>
        <w:spacing w:after="40" w:before="40"/>
      </w:pPr>
      <w:r>
        <w:rPr>
          <w:rFonts w:ascii="Arial" w:cs="Arial" w:eastAsia="Arial" w:hAnsi="Arial"/>
          <w:color w:val="111111"/>
          <w:sz w:val="22"/>
          <w:szCs w:val="22"/>
        </w:rPr>
        <w:t xml:space="preserve">Text ingestion: All articles, filings, and announcements scraped and normalised</w:t>
      </w:r>
    </w:p>
    <w:p>
      <w:pPr>
        <w:pStyle w:val="ListParagraph"/>
        <w:numPr>
          <w:ilvl w:val="0"/>
          <w:numId w:val="2"/>
        </w:numPr>
        <w:spacing w:after="40" w:before="40"/>
      </w:pPr>
      <w:r>
        <w:rPr>
          <w:rFonts w:ascii="Arial" w:cs="Arial" w:eastAsia="Arial" w:hAnsi="Arial"/>
          <w:color w:val="111111"/>
          <w:sz w:val="22"/>
          <w:szCs w:val="22"/>
        </w:rPr>
        <w:t xml:space="preserve">Entity extraction: Identify company names, sectors, financial figures, executive names, and key terms</w:t>
      </w:r>
    </w:p>
    <w:p>
      <w:pPr>
        <w:pStyle w:val="ListParagraph"/>
        <w:numPr>
          <w:ilvl w:val="0"/>
          <w:numId w:val="2"/>
        </w:numPr>
        <w:spacing w:after="40" w:before="40"/>
      </w:pPr>
      <w:r>
        <w:rPr>
          <w:rFonts w:ascii="Arial" w:cs="Arial" w:eastAsia="Arial" w:hAnsi="Arial"/>
          <w:color w:val="111111"/>
          <w:sz w:val="22"/>
          <w:szCs w:val="22"/>
        </w:rPr>
        <w:t xml:space="preserve">Sentiment classification: Each article scored as Bullish / Bearish / Neutral on a confidence scale</w:t>
      </w:r>
    </w:p>
    <w:p>
      <w:pPr>
        <w:pStyle w:val="ListParagraph"/>
        <w:numPr>
          <w:ilvl w:val="0"/>
          <w:numId w:val="2"/>
        </w:numPr>
        <w:spacing w:after="40" w:before="40"/>
      </w:pPr>
      <w:r>
        <w:rPr>
          <w:rFonts w:ascii="Arial" w:cs="Arial" w:eastAsia="Arial" w:hAnsi="Arial"/>
          <w:color w:val="111111"/>
          <w:sz w:val="22"/>
          <w:szCs w:val="22"/>
        </w:rPr>
        <w:t xml:space="preserve">Materiality scoring: Classify the news as High Impact (earnings, order wins, regulatory action), Medium Impact (analyst upgrades, management changes), or Low Impact (routine disclosures)</w:t>
      </w:r>
    </w:p>
    <w:p>
      <w:pPr>
        <w:pStyle w:val="ListParagraph"/>
        <w:numPr>
          <w:ilvl w:val="0"/>
          <w:numId w:val="2"/>
        </w:numPr>
        <w:spacing w:after="40" w:before="40"/>
      </w:pPr>
      <w:r>
        <w:rPr>
          <w:rFonts w:ascii="Arial" w:cs="Arial" w:eastAsia="Arial" w:hAnsi="Arial"/>
          <w:color w:val="111111"/>
          <w:sz w:val="22"/>
          <w:szCs w:val="22"/>
        </w:rPr>
        <w:t xml:space="preserve">Signal aggregation: Rolling 24-hour, 7-day, and 30-day sentiment scores per stock</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4.3 Specific Event Detection</w:t>
      </w:r>
    </w:p>
    <w:p>
      <w:pPr>
        <w:pStyle w:val="ListParagraph"/>
        <w:numPr>
          <w:ilvl w:val="0"/>
          <w:numId w:val="3"/>
        </w:numPr>
        <w:spacing w:after="40" w:before="40"/>
      </w:pPr>
      <w:r>
        <w:rPr>
          <w:rFonts w:ascii="Arial" w:cs="Arial" w:eastAsia="Arial" w:hAnsi="Arial"/>
          <w:color w:val="111111"/>
          <w:sz w:val="22"/>
          <w:szCs w:val="22"/>
        </w:rPr>
        <w:t xml:space="preserve">Earnings surprise: Actual vs consensus EPS, flag magnitude of beat/miss</w:t>
      </w:r>
    </w:p>
    <w:p>
      <w:pPr>
        <w:pStyle w:val="ListParagraph"/>
        <w:numPr>
          <w:ilvl w:val="0"/>
          <w:numId w:val="3"/>
        </w:numPr>
        <w:spacing w:after="40" w:before="40"/>
      </w:pPr>
      <w:r>
        <w:rPr>
          <w:rFonts w:ascii="Arial" w:cs="Arial" w:eastAsia="Arial" w:hAnsi="Arial"/>
          <w:color w:val="111111"/>
          <w:sz w:val="22"/>
          <w:szCs w:val="22"/>
        </w:rPr>
        <w:t xml:space="preserve">Order/contract wins: Auto-extract contract value and duration from announcement text</w:t>
      </w:r>
    </w:p>
    <w:p>
      <w:pPr>
        <w:pStyle w:val="ListParagraph"/>
        <w:numPr>
          <w:ilvl w:val="0"/>
          <w:numId w:val="3"/>
        </w:numPr>
        <w:spacing w:after="40" w:before="40"/>
      </w:pPr>
      <w:r>
        <w:rPr>
          <w:rFonts w:ascii="Arial" w:cs="Arial" w:eastAsia="Arial" w:hAnsi="Arial"/>
          <w:color w:val="111111"/>
          <w:sz w:val="22"/>
          <w:szCs w:val="22"/>
        </w:rPr>
        <w:t xml:space="preserve">Management changes: CEO, CFO, promoter buyback or stake sale</w:t>
      </w:r>
    </w:p>
    <w:p>
      <w:pPr>
        <w:pStyle w:val="ListParagraph"/>
        <w:numPr>
          <w:ilvl w:val="0"/>
          <w:numId w:val="3"/>
        </w:numPr>
        <w:spacing w:after="40" w:before="40"/>
      </w:pPr>
      <w:r>
        <w:rPr>
          <w:rFonts w:ascii="Arial" w:cs="Arial" w:eastAsia="Arial" w:hAnsi="Arial"/>
          <w:color w:val="111111"/>
          <w:sz w:val="22"/>
          <w:szCs w:val="22"/>
        </w:rPr>
        <w:t xml:space="preserve">Credit rating changes: CRISIL, ICRA, CARE rating upgrades or downgrades</w:t>
      </w:r>
    </w:p>
    <w:p>
      <w:pPr>
        <w:pStyle w:val="ListParagraph"/>
        <w:numPr>
          <w:ilvl w:val="0"/>
          <w:numId w:val="3"/>
        </w:numPr>
        <w:spacing w:after="40" w:before="40"/>
      </w:pPr>
      <w:r>
        <w:rPr>
          <w:rFonts w:ascii="Arial" w:cs="Arial" w:eastAsia="Arial" w:hAnsi="Arial"/>
          <w:color w:val="111111"/>
          <w:sz w:val="22"/>
          <w:szCs w:val="22"/>
        </w:rPr>
        <w:t xml:space="preserve">Regulatory events: SEBI investigation notices, MCA show-cause, NCLT proceedings</w:t>
      </w:r>
    </w:p>
    <w:p>
      <w:pPr>
        <w:pStyle w:val="ListParagraph"/>
        <w:numPr>
          <w:ilvl w:val="0"/>
          <w:numId w:val="3"/>
        </w:numPr>
        <w:spacing w:after="40" w:before="40"/>
      </w:pPr>
      <w:r>
        <w:rPr>
          <w:rFonts w:ascii="Arial" w:cs="Arial" w:eastAsia="Arial" w:hAnsi="Arial"/>
          <w:color w:val="111111"/>
          <w:sz w:val="22"/>
          <w:szCs w:val="22"/>
        </w:rPr>
        <w:t xml:space="preserve">Promoter pledge creation or invocation alerts</w:t>
      </w:r>
    </w:p>
    <w:p>
      <w:pPr>
        <w:spacing w:after="0" w:before="120"/>
      </w:pPr>
      <w:r>
        <w:t xml:space="preserve"/>
      </w:r>
    </w:p>
    <w:p>
      <w:r>
        <w:br w:type="page"/>
      </w:r>
    </w:p>
    <w:p>
      <w:pPr>
        <w:pStyle w:val="Heading2"/>
        <w:spacing w:after="120" w:before="240"/>
      </w:pPr>
      <w:r>
        <w:rPr>
          <w:rFonts w:ascii="Arial" w:cs="Arial" w:eastAsia="Arial" w:hAnsi="Arial"/>
          <w:b/>
          <w:bCs/>
          <w:color w:val="007A6E"/>
          <w:sz w:val="28"/>
          <w:szCs w:val="28"/>
        </w:rPr>
        <w:t xml:space="preserve">Layer 5: Global Trade Flow Intelligence</w:t>
      </w:r>
    </w:p>
    <w:p>
      <w:pPr>
        <w:spacing w:after="60" w:before="60"/>
      </w:pPr>
      <w:r>
        <w:rPr>
          <w:rFonts w:ascii="Arial" w:cs="Arial" w:eastAsia="Arial" w:hAnsi="Arial"/>
          <w:color w:val="111111"/>
          <w:sz w:val="22"/>
          <w:szCs w:val="22"/>
        </w:rPr>
        <w:t xml:space="preserve">Purpose: Understand how India's trade relationships and global commodity flows affect the stock and its sector.</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5.1 Trade Data Sources</w:t>
      </w:r>
    </w:p>
    <w:p>
      <w:pPr>
        <w:pStyle w:val="ListParagraph"/>
        <w:numPr>
          <w:ilvl w:val="0"/>
          <w:numId w:val="3"/>
        </w:numPr>
        <w:spacing w:after="40" w:before="40"/>
      </w:pPr>
      <w:r>
        <w:rPr>
          <w:rFonts w:ascii="Arial" w:cs="Arial" w:eastAsia="Arial" w:hAnsi="Arial"/>
          <w:color w:val="111111"/>
          <w:sz w:val="22"/>
          <w:szCs w:val="22"/>
        </w:rPr>
        <w:t xml:space="preserve">DGFT (Directorate General of Foreign Trade) export-import transaction data</w:t>
      </w:r>
    </w:p>
    <w:p>
      <w:pPr>
        <w:pStyle w:val="ListParagraph"/>
        <w:numPr>
          <w:ilvl w:val="0"/>
          <w:numId w:val="3"/>
        </w:numPr>
        <w:spacing w:after="40" w:before="40"/>
      </w:pPr>
      <w:r>
        <w:rPr>
          <w:rFonts w:ascii="Arial" w:cs="Arial" w:eastAsia="Arial" w:hAnsi="Arial"/>
          <w:color w:val="111111"/>
          <w:sz w:val="22"/>
          <w:szCs w:val="22"/>
        </w:rPr>
        <w:t xml:space="preserve">Ministry of Commerce monthly trade statistics</w:t>
      </w:r>
    </w:p>
    <w:p>
      <w:pPr>
        <w:pStyle w:val="ListParagraph"/>
        <w:numPr>
          <w:ilvl w:val="0"/>
          <w:numId w:val="3"/>
        </w:numPr>
        <w:spacing w:after="40" w:before="40"/>
      </w:pPr>
      <w:r>
        <w:rPr>
          <w:rFonts w:ascii="Arial" w:cs="Arial" w:eastAsia="Arial" w:hAnsi="Arial"/>
          <w:color w:val="111111"/>
          <w:sz w:val="22"/>
          <w:szCs w:val="22"/>
        </w:rPr>
        <w:t xml:space="preserve">Panjiva / ImportGenius for shipment-level intelligence</w:t>
      </w:r>
    </w:p>
    <w:p>
      <w:pPr>
        <w:pStyle w:val="ListParagraph"/>
        <w:numPr>
          <w:ilvl w:val="0"/>
          <w:numId w:val="3"/>
        </w:numPr>
        <w:spacing w:after="40" w:before="40"/>
      </w:pPr>
      <w:r>
        <w:rPr>
          <w:rFonts w:ascii="Arial" w:cs="Arial" w:eastAsia="Arial" w:hAnsi="Arial"/>
          <w:color w:val="111111"/>
          <w:sz w:val="22"/>
          <w:szCs w:val="22"/>
        </w:rPr>
        <w:t xml:space="preserve">AIS shipping vessel tracking for logistics-sensitive sectors</w:t>
      </w:r>
    </w:p>
    <w:p>
      <w:pPr>
        <w:pStyle w:val="ListParagraph"/>
        <w:numPr>
          <w:ilvl w:val="0"/>
          <w:numId w:val="3"/>
        </w:numPr>
        <w:spacing w:after="40" w:before="40"/>
      </w:pPr>
      <w:r>
        <w:rPr>
          <w:rFonts w:ascii="Arial" w:cs="Arial" w:eastAsia="Arial" w:hAnsi="Arial"/>
          <w:color w:val="111111"/>
          <w:sz w:val="22"/>
          <w:szCs w:val="22"/>
        </w:rPr>
        <w:t xml:space="preserve">Port-level cargo data (JNPT, Mundra, Chennai) for volume intelligence</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5.2 Trade Analysis Functions</w:t>
      </w:r>
    </w:p>
    <w:p>
      <w:pPr>
        <w:pStyle w:val="ListParagraph"/>
        <w:numPr>
          <w:ilvl w:val="0"/>
          <w:numId w:val="3"/>
        </w:numPr>
        <w:spacing w:after="40" w:before="40"/>
      </w:pPr>
      <w:r>
        <w:rPr>
          <w:rFonts w:ascii="Arial" w:cs="Arial" w:eastAsia="Arial" w:hAnsi="Arial"/>
          <w:color w:val="111111"/>
          <w:sz w:val="22"/>
          <w:szCs w:val="22"/>
        </w:rPr>
        <w:t xml:space="preserve">Export exposure mapping: For each company, what percentage of revenue is export-linked and to which geographies</w:t>
      </w:r>
    </w:p>
    <w:p>
      <w:pPr>
        <w:pStyle w:val="ListParagraph"/>
        <w:numPr>
          <w:ilvl w:val="0"/>
          <w:numId w:val="3"/>
        </w:numPr>
        <w:spacing w:after="40" w:before="40"/>
      </w:pPr>
      <w:r>
        <w:rPr>
          <w:rFonts w:ascii="Arial" w:cs="Arial" w:eastAsia="Arial" w:hAnsi="Arial"/>
          <w:color w:val="111111"/>
          <w:sz w:val="22"/>
          <w:szCs w:val="22"/>
        </w:rPr>
        <w:t xml:space="preserve">Import dependency: Key raw material imports, supplier countries, and price exposure</w:t>
      </w:r>
    </w:p>
    <w:p>
      <w:pPr>
        <w:pStyle w:val="ListParagraph"/>
        <w:numPr>
          <w:ilvl w:val="0"/>
          <w:numId w:val="3"/>
        </w:numPr>
        <w:spacing w:after="40" w:before="40"/>
      </w:pPr>
      <w:r>
        <w:rPr>
          <w:rFonts w:ascii="Arial" w:cs="Arial" w:eastAsia="Arial" w:hAnsi="Arial"/>
          <w:color w:val="111111"/>
          <w:sz w:val="22"/>
          <w:szCs w:val="22"/>
        </w:rPr>
        <w:t xml:space="preserve">Trade route disruption alerts: Red Sea, Strait of Malacca, Taiwan Strait risk flags</w:t>
      </w:r>
    </w:p>
    <w:p>
      <w:pPr>
        <w:pStyle w:val="ListParagraph"/>
        <w:numPr>
          <w:ilvl w:val="0"/>
          <w:numId w:val="3"/>
        </w:numPr>
        <w:spacing w:after="40" w:before="40"/>
      </w:pPr>
      <w:r>
        <w:rPr>
          <w:rFonts w:ascii="Arial" w:cs="Arial" w:eastAsia="Arial" w:hAnsi="Arial"/>
          <w:color w:val="111111"/>
          <w:sz w:val="22"/>
          <w:szCs w:val="22"/>
        </w:rPr>
        <w:t xml:space="preserve">Tariff change impact modelling: When a tariff is announced, automatically flag affected Indian stocks</w:t>
      </w:r>
    </w:p>
    <w:p>
      <w:pPr>
        <w:pStyle w:val="ListParagraph"/>
        <w:numPr>
          <w:ilvl w:val="0"/>
          <w:numId w:val="3"/>
        </w:numPr>
        <w:spacing w:after="40" w:before="40"/>
      </w:pPr>
      <w:r>
        <w:rPr>
          <w:rFonts w:ascii="Arial" w:cs="Arial" w:eastAsia="Arial" w:hAnsi="Arial"/>
          <w:color w:val="111111"/>
          <w:sz w:val="22"/>
          <w:szCs w:val="22"/>
        </w:rPr>
        <w:t xml:space="preserve">China+1 opportunity tracker: Monitor manufacturing orders shifting from China to India by sector</w:t>
      </w:r>
    </w:p>
    <w:p>
      <w:pPr>
        <w:pStyle w:val="ListParagraph"/>
        <w:numPr>
          <w:ilvl w:val="0"/>
          <w:numId w:val="3"/>
        </w:numPr>
        <w:spacing w:after="40" w:before="40"/>
      </w:pPr>
      <w:r>
        <w:rPr>
          <w:rFonts w:ascii="Arial" w:cs="Arial" w:eastAsia="Arial" w:hAnsi="Arial"/>
          <w:color w:val="111111"/>
          <w:sz w:val="22"/>
          <w:szCs w:val="22"/>
        </w:rPr>
        <w:t xml:space="preserve">PLI scheme execution tracker: Track which companies are actually executing vs only announced eligibility</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5.3 Sector-Level Trade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Sector</w:t>
            </w:r>
          </w:p>
        </w:tc>
        <w:tc>
          <w:tcPr>
            <w:tcW w:type="dxa" w:w="348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Trade Signal Monitored</w:t>
            </w:r>
          </w:p>
        </w:tc>
        <w:tc>
          <w:tcPr>
            <w:tcW w:type="dxa" w:w="348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 Stocks</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Pharma &amp; API</w:t>
            </w:r>
          </w:p>
        </w:tc>
        <w:tc>
          <w:tcPr>
            <w:tcW w:type="dxa" w:w="34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US FDA drug approval calendar, ANDA filings, USFDA inspection alerts</w:t>
            </w:r>
          </w:p>
        </w:tc>
        <w:tc>
          <w:tcPr>
            <w:tcW w:type="dxa" w:w="34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Sun Pharma, Cipla, Laurus, Divi's</w:t>
            </w:r>
          </w:p>
        </w:tc>
      </w:tr>
      <w:tr>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IT Services</w:t>
            </w:r>
          </w:p>
        </w:tc>
        <w:tc>
          <w:tcPr>
            <w:tcW w:type="dxa" w:w="348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US tech spend indicators, H1B visa policy, offshore contract announcements</w:t>
            </w:r>
          </w:p>
        </w:tc>
        <w:tc>
          <w:tcPr>
            <w:tcW w:type="dxa" w:w="348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TCS, Infosys, Wipro, HCL Tech</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Metals &amp; Mining</w:t>
            </w:r>
          </w:p>
        </w:tc>
        <w:tc>
          <w:tcPr>
            <w:tcW w:type="dxa" w:w="34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China PMI, LME prices, global steel trade flows, coking coal imports</w:t>
            </w:r>
          </w:p>
        </w:tc>
        <w:tc>
          <w:tcPr>
            <w:tcW w:type="dxa" w:w="34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Tata Steel, JSPL, Hindalco, SAIL</w:t>
            </w:r>
          </w:p>
        </w:tc>
      </w:tr>
      <w:tr>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Electronics (EMS)</w:t>
            </w:r>
          </w:p>
        </w:tc>
        <w:tc>
          <w:tcPr>
            <w:tcW w:type="dxa" w:w="348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China export controls, PLI disbursement data, Apple/Samsung order flows</w:t>
            </w:r>
          </w:p>
        </w:tc>
        <w:tc>
          <w:tcPr>
            <w:tcW w:type="dxa" w:w="348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Kaynes, Dixon, Amber, Avalon</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Chemicals</w:t>
            </w:r>
          </w:p>
        </w:tc>
        <w:tc>
          <w:tcPr>
            <w:tcW w:type="dxa" w:w="34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China anti-dumping investigations, EU REACH regulations, feedstock costs</w:t>
            </w:r>
          </w:p>
        </w:tc>
        <w:tc>
          <w:tcPr>
            <w:tcW w:type="dxa" w:w="348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SRF, PI Industries, Navin Fluorine</w:t>
            </w:r>
          </w:p>
        </w:tc>
      </w:tr>
      <w:tr>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Auto &amp; Ancillary</w:t>
            </w:r>
          </w:p>
        </w:tc>
        <w:tc>
          <w:tcPr>
            <w:tcW w:type="dxa" w:w="348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EV adoption curve, rare earth prices, semiconductor supply chain</w:t>
            </w:r>
          </w:p>
        </w:tc>
        <w:tc>
          <w:tcPr>
            <w:tcW w:type="dxa" w:w="348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Maruti, M&amp;M, Minda, Sona BLW</w:t>
            </w:r>
          </w:p>
        </w:tc>
      </w:tr>
    </w:tbl>
    <w:p>
      <w:pPr>
        <w:spacing w:after="0" w:before="160"/>
      </w:pPr>
      <w:r>
        <w:t xml:space="preserve"/>
      </w:r>
    </w:p>
    <w:p>
      <w:pPr>
        <w:pStyle w:val="Heading2"/>
        <w:spacing w:after="120" w:before="240"/>
      </w:pPr>
      <w:r>
        <w:rPr>
          <w:rFonts w:ascii="Arial" w:cs="Arial" w:eastAsia="Arial" w:hAnsi="Arial"/>
          <w:b/>
          <w:bCs/>
          <w:color w:val="007A6E"/>
          <w:sz w:val="28"/>
          <w:szCs w:val="28"/>
        </w:rPr>
        <w:t xml:space="preserve">Layer 6: Management Credibility Scoring Engine</w:t>
      </w:r>
    </w:p>
    <w:p>
      <w:pPr>
        <w:spacing w:after="60" w:before="60"/>
      </w:pPr>
      <w:r>
        <w:rPr>
          <w:rFonts w:ascii="Arial" w:cs="Arial" w:eastAsia="Arial" w:hAnsi="Arial"/>
          <w:color w:val="111111"/>
          <w:sz w:val="22"/>
          <w:szCs w:val="22"/>
        </w:rPr>
        <w:t xml:space="preserve">Purpose: Quantify the quality, trustworthiness, and execution track record of the company's management team.</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6.1 Quantitative Management Signals</w:t>
      </w:r>
    </w:p>
    <w:p>
      <w:pPr>
        <w:pStyle w:val="ListParagraph"/>
        <w:numPr>
          <w:ilvl w:val="0"/>
          <w:numId w:val="3"/>
        </w:numPr>
        <w:spacing w:after="40" w:before="40"/>
      </w:pPr>
      <w:r>
        <w:rPr>
          <w:rFonts w:ascii="Arial" w:cs="Arial" w:eastAsia="Arial" w:hAnsi="Arial"/>
          <w:color w:val="111111"/>
          <w:sz w:val="22"/>
          <w:szCs w:val="22"/>
        </w:rPr>
        <w:t xml:space="preserve">Promoter shareholding trend: Increasing or decreasing over 12 quarters</w:t>
      </w:r>
    </w:p>
    <w:p>
      <w:pPr>
        <w:pStyle w:val="ListParagraph"/>
        <w:numPr>
          <w:ilvl w:val="0"/>
          <w:numId w:val="3"/>
        </w:numPr>
        <w:spacing w:after="40" w:before="40"/>
      </w:pPr>
      <w:r>
        <w:rPr>
          <w:rFonts w:ascii="Arial" w:cs="Arial" w:eastAsia="Arial" w:hAnsi="Arial"/>
          <w:color w:val="111111"/>
          <w:sz w:val="22"/>
          <w:szCs w:val="22"/>
        </w:rPr>
        <w:t xml:space="preserve">Promoter pledge percentage: Current level and trend. Flag if &gt;15% of promoter holding is pledged</w:t>
      </w:r>
    </w:p>
    <w:p>
      <w:pPr>
        <w:pStyle w:val="ListParagraph"/>
        <w:numPr>
          <w:ilvl w:val="0"/>
          <w:numId w:val="3"/>
        </w:numPr>
        <w:spacing w:after="40" w:before="40"/>
      </w:pPr>
      <w:r>
        <w:rPr>
          <w:rFonts w:ascii="Arial" w:cs="Arial" w:eastAsia="Arial" w:hAnsi="Arial"/>
          <w:color w:val="111111"/>
          <w:sz w:val="22"/>
          <w:szCs w:val="22"/>
        </w:rPr>
        <w:t xml:space="preserve">Insider trading data: Director/promoter buy and sell transactions in past 12 months</w:t>
      </w:r>
    </w:p>
    <w:p>
      <w:pPr>
        <w:pStyle w:val="ListParagraph"/>
        <w:numPr>
          <w:ilvl w:val="0"/>
          <w:numId w:val="3"/>
        </w:numPr>
        <w:spacing w:after="40" w:before="40"/>
      </w:pPr>
      <w:r>
        <w:rPr>
          <w:rFonts w:ascii="Arial" w:cs="Arial" w:eastAsia="Arial" w:hAnsi="Arial"/>
          <w:color w:val="111111"/>
          <w:sz w:val="22"/>
          <w:szCs w:val="22"/>
        </w:rPr>
        <w:t xml:space="preserve">Capital allocation quality: 10-year ROCE vs cost of capital (management creating or destroying value?)</w:t>
      </w:r>
    </w:p>
    <w:p>
      <w:pPr>
        <w:pStyle w:val="ListParagraph"/>
        <w:numPr>
          <w:ilvl w:val="0"/>
          <w:numId w:val="3"/>
        </w:numPr>
        <w:spacing w:after="40" w:before="40"/>
      </w:pPr>
      <w:r>
        <w:rPr>
          <w:rFonts w:ascii="Arial" w:cs="Arial" w:eastAsia="Arial" w:hAnsi="Arial"/>
          <w:color w:val="111111"/>
          <w:sz w:val="22"/>
          <w:szCs w:val="22"/>
        </w:rPr>
        <w:t xml:space="preserve">Dividend and buyback history: Consistency and shareholder-friendliness</w:t>
      </w:r>
    </w:p>
    <w:p>
      <w:pPr>
        <w:pStyle w:val="ListParagraph"/>
        <w:numPr>
          <w:ilvl w:val="0"/>
          <w:numId w:val="3"/>
        </w:numPr>
        <w:spacing w:after="40" w:before="40"/>
      </w:pPr>
      <w:r>
        <w:rPr>
          <w:rFonts w:ascii="Arial" w:cs="Arial" w:eastAsia="Arial" w:hAnsi="Arial"/>
          <w:color w:val="111111"/>
          <w:sz w:val="22"/>
          <w:szCs w:val="22"/>
        </w:rPr>
        <w:t xml:space="preserve">Related party transactions (RPT) as percentage of revenue: Flag if disproportionate</w:t>
      </w:r>
    </w:p>
    <w:p>
      <w:pPr>
        <w:pStyle w:val="ListParagraph"/>
        <w:numPr>
          <w:ilvl w:val="0"/>
          <w:numId w:val="3"/>
        </w:numPr>
        <w:spacing w:after="40" w:before="40"/>
      </w:pPr>
      <w:r>
        <w:rPr>
          <w:rFonts w:ascii="Arial" w:cs="Arial" w:eastAsia="Arial" w:hAnsi="Arial"/>
          <w:color w:val="111111"/>
          <w:sz w:val="22"/>
          <w:szCs w:val="22"/>
        </w:rPr>
        <w:t xml:space="preserve">Contingent liabilities: Track as percentage of net worth, flag trajectory</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6.2 NLP Analysis of Management Communication</w:t>
      </w:r>
    </w:p>
    <w:p>
      <w:pPr>
        <w:pStyle w:val="ListParagraph"/>
        <w:numPr>
          <w:ilvl w:val="0"/>
          <w:numId w:val="3"/>
        </w:numPr>
        <w:spacing w:after="40" w:before="40"/>
      </w:pPr>
      <w:r>
        <w:rPr>
          <w:rFonts w:ascii="Arial" w:cs="Arial" w:eastAsia="Arial" w:hAnsi="Arial"/>
          <w:color w:val="111111"/>
          <w:sz w:val="22"/>
          <w:szCs w:val="22"/>
        </w:rPr>
        <w:t xml:space="preserve">AGM transcript analysis: Detect language patterns indicating overconfidence, evasiveness, or lack of specificity on guidance</w:t>
      </w:r>
    </w:p>
    <w:p>
      <w:pPr>
        <w:pStyle w:val="ListParagraph"/>
        <w:numPr>
          <w:ilvl w:val="0"/>
          <w:numId w:val="3"/>
        </w:numPr>
        <w:spacing w:after="40" w:before="40"/>
      </w:pPr>
      <w:r>
        <w:rPr>
          <w:rFonts w:ascii="Arial" w:cs="Arial" w:eastAsia="Arial" w:hAnsi="Arial"/>
          <w:color w:val="111111"/>
          <w:sz w:val="22"/>
          <w:szCs w:val="22"/>
        </w:rPr>
        <w:t xml:space="preserve">Earnings call transcript analysis: Compare actual results vs prior guidance — guidance accuracy score</w:t>
      </w:r>
    </w:p>
    <w:p>
      <w:pPr>
        <w:pStyle w:val="ListParagraph"/>
        <w:numPr>
          <w:ilvl w:val="0"/>
          <w:numId w:val="3"/>
        </w:numPr>
        <w:spacing w:after="40" w:before="40"/>
      </w:pPr>
      <w:r>
        <w:rPr>
          <w:rFonts w:ascii="Arial" w:cs="Arial" w:eastAsia="Arial" w:hAnsi="Arial"/>
          <w:color w:val="111111"/>
          <w:sz w:val="22"/>
          <w:szCs w:val="22"/>
        </w:rPr>
        <w:t xml:space="preserve">Annual report Chairman/MD letter: Year-on-year language consistency and honesty assessment</w:t>
      </w:r>
    </w:p>
    <w:p>
      <w:pPr>
        <w:pStyle w:val="ListParagraph"/>
        <w:numPr>
          <w:ilvl w:val="0"/>
          <w:numId w:val="3"/>
        </w:numPr>
        <w:spacing w:after="40" w:before="40"/>
      </w:pPr>
      <w:r>
        <w:rPr>
          <w:rFonts w:ascii="Arial" w:cs="Arial" w:eastAsia="Arial" w:hAnsi="Arial"/>
          <w:color w:val="111111"/>
          <w:sz w:val="22"/>
          <w:szCs w:val="22"/>
        </w:rPr>
        <w:t xml:space="preserve">Media interview sentiment: Flag contradictions between public statements and filing disclosures</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6.3 Management Score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1" w:val="clear"/>
            <w:tcMar>
              <w:top w:type="dxa" w:w="120"/>
              <w:left w:type="dxa" w:w="160"/>
              <w:bottom w:type="dxa" w:w="120"/>
              <w:right w:type="dxa" w:w="160"/>
            </w:tcMar>
          </w:tcPr>
          <w:p>
            <w:pPr>
              <w:spacing w:after="60" w:before="0"/>
            </w:pPr>
            <w:r>
              <w:rPr>
                <w:rFonts w:ascii="Arial" w:cs="Arial" w:eastAsia="Arial" w:hAnsi="Arial"/>
                <w:b/>
                <w:bCs/>
                <w:color w:val="B8860B"/>
                <w:sz w:val="22"/>
                <w:szCs w:val="22"/>
              </w:rPr>
              <w:t xml:space="preserve">Management Credibility Score Formula</w:t>
            </w:r>
          </w:p>
          <w:p>
            <w:pPr>
              <w:spacing w:after="0" w:before="0"/>
            </w:pPr>
            <w:r>
              <w:rPr>
                <w:rFonts w:ascii="Arial" w:cs="Arial" w:eastAsia="Arial" w:hAnsi="Arial"/>
                <w:color w:val="111111"/>
                <w:sz w:val="21"/>
                <w:szCs w:val="21"/>
              </w:rPr>
              <w:t xml:space="preserve">Score = (Capital Allocation Track Record x 0.30) + (Pledge &amp; Insider Transaction Score x 0.25) + (Guidance Accuracy Score x 0.25) + (RPT &amp; Governance Score x 0.20)
Final Score: 0-100. Above 75 = High Trust. 50-75 = Moderate. Below 50 = Caution flag.</w:t>
            </w:r>
          </w:p>
        </w:tc>
      </w:tr>
    </w:tbl>
    <w:p>
      <w:pPr>
        <w:spacing w:after="0" w:before="160"/>
      </w:pPr>
      <w:r>
        <w:t xml:space="preserve"/>
      </w:r>
    </w:p>
    <w:p>
      <w:pPr>
        <w:pStyle w:val="Heading2"/>
        <w:spacing w:after="120" w:before="240"/>
      </w:pPr>
      <w:r>
        <w:rPr>
          <w:rFonts w:ascii="Arial" w:cs="Arial" w:eastAsia="Arial" w:hAnsi="Arial"/>
          <w:b/>
          <w:bCs/>
          <w:color w:val="007A6E"/>
          <w:sz w:val="28"/>
          <w:szCs w:val="28"/>
        </w:rPr>
        <w:t xml:space="preserve">Layer 7: Geopolitical &amp; Macro Risk Engine</w:t>
      </w:r>
    </w:p>
    <w:p>
      <w:pPr>
        <w:spacing w:after="60" w:before="60"/>
      </w:pPr>
      <w:r>
        <w:rPr>
          <w:rFonts w:ascii="Arial" w:cs="Arial" w:eastAsia="Arial" w:hAnsi="Arial"/>
          <w:color w:val="111111"/>
          <w:sz w:val="22"/>
          <w:szCs w:val="22"/>
        </w:rPr>
        <w:t xml:space="preserve">Purpose: Identify and quantify how geopolitical events, macro policy changes, and structural shifts affect the stock.</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7.1 India-Specific Macro Signals</w:t>
      </w:r>
    </w:p>
    <w:p>
      <w:pPr>
        <w:pStyle w:val="ListParagraph"/>
        <w:numPr>
          <w:ilvl w:val="0"/>
          <w:numId w:val="3"/>
        </w:numPr>
        <w:spacing w:after="40" w:before="40"/>
      </w:pPr>
      <w:r>
        <w:rPr>
          <w:rFonts w:ascii="Arial" w:cs="Arial" w:eastAsia="Arial" w:hAnsi="Arial"/>
          <w:color w:val="111111"/>
          <w:sz w:val="22"/>
          <w:szCs w:val="22"/>
        </w:rPr>
        <w:t xml:space="preserve">RBI monetary policy: Rate decisions, liquidity operations, regulatory circulars</w:t>
      </w:r>
    </w:p>
    <w:p>
      <w:pPr>
        <w:pStyle w:val="ListParagraph"/>
        <w:numPr>
          <w:ilvl w:val="0"/>
          <w:numId w:val="3"/>
        </w:numPr>
        <w:spacing w:after="40" w:before="40"/>
      </w:pPr>
      <w:r>
        <w:rPr>
          <w:rFonts w:ascii="Arial" w:cs="Arial" w:eastAsia="Arial" w:hAnsi="Arial"/>
          <w:color w:val="111111"/>
          <w:sz w:val="22"/>
          <w:szCs w:val="22"/>
        </w:rPr>
        <w:t xml:space="preserve">Union Budget: Sector-wise allocation changes, duty structure changes, PLI expansions</w:t>
      </w:r>
    </w:p>
    <w:p>
      <w:pPr>
        <w:pStyle w:val="ListParagraph"/>
        <w:numPr>
          <w:ilvl w:val="0"/>
          <w:numId w:val="3"/>
        </w:numPr>
        <w:spacing w:after="40" w:before="40"/>
      </w:pPr>
      <w:r>
        <w:rPr>
          <w:rFonts w:ascii="Arial" w:cs="Arial" w:eastAsia="Arial" w:hAnsi="Arial"/>
          <w:color w:val="111111"/>
          <w:sz w:val="22"/>
          <w:szCs w:val="22"/>
        </w:rPr>
        <w:t xml:space="preserve">SEBI regulations: New rules affecting specific sectors or instruments</w:t>
      </w:r>
    </w:p>
    <w:p>
      <w:pPr>
        <w:pStyle w:val="ListParagraph"/>
        <w:numPr>
          <w:ilvl w:val="0"/>
          <w:numId w:val="3"/>
        </w:numPr>
        <w:spacing w:after="40" w:before="40"/>
      </w:pPr>
      <w:r>
        <w:rPr>
          <w:rFonts w:ascii="Arial" w:cs="Arial" w:eastAsia="Arial" w:hAnsi="Arial"/>
          <w:color w:val="111111"/>
          <w:sz w:val="22"/>
          <w:szCs w:val="22"/>
        </w:rPr>
        <w:t xml:space="preserve">Election cycle modelling: Central and state elections impact on infrastructure, PSU, and policy-linked sectors</w:t>
      </w:r>
    </w:p>
    <w:p>
      <w:pPr>
        <w:pStyle w:val="ListParagraph"/>
        <w:numPr>
          <w:ilvl w:val="0"/>
          <w:numId w:val="3"/>
        </w:numPr>
        <w:spacing w:after="40" w:before="40"/>
      </w:pPr>
      <w:r>
        <w:rPr>
          <w:rFonts w:ascii="Arial" w:cs="Arial" w:eastAsia="Arial" w:hAnsi="Arial"/>
          <w:color w:val="111111"/>
          <w:sz w:val="22"/>
          <w:szCs w:val="22"/>
        </w:rPr>
        <w:t xml:space="preserve">GST data: Sector-level GST collection trends as leading economic indicator</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7.2 Global Geopolitical Event Mapping</w:t>
      </w:r>
    </w:p>
    <w:p>
      <w:pPr>
        <w:pStyle w:val="ListParagraph"/>
        <w:numPr>
          <w:ilvl w:val="0"/>
          <w:numId w:val="3"/>
        </w:numPr>
        <w:spacing w:after="40" w:before="40"/>
      </w:pPr>
      <w:r>
        <w:rPr>
          <w:rFonts w:ascii="Arial" w:cs="Arial" w:eastAsia="Arial" w:hAnsi="Arial"/>
          <w:color w:val="111111"/>
          <w:sz w:val="22"/>
          <w:szCs w:val="22"/>
        </w:rPr>
        <w:t xml:space="preserve">US-China trade war escalation: Map affected Indian sectors and beneficiary stocks</w:t>
      </w:r>
    </w:p>
    <w:p>
      <w:pPr>
        <w:pStyle w:val="ListParagraph"/>
        <w:numPr>
          <w:ilvl w:val="0"/>
          <w:numId w:val="3"/>
        </w:numPr>
        <w:spacing w:after="40" w:before="40"/>
      </w:pPr>
      <w:r>
        <w:rPr>
          <w:rFonts w:ascii="Arial" w:cs="Arial" w:eastAsia="Arial" w:hAnsi="Arial"/>
          <w:color w:val="111111"/>
          <w:sz w:val="22"/>
          <w:szCs w:val="22"/>
        </w:rPr>
        <w:t xml:space="preserve">Russia-Ukraine and Middle East conflicts: Energy price and defence sector impact</w:t>
      </w:r>
    </w:p>
    <w:p>
      <w:pPr>
        <w:pStyle w:val="ListParagraph"/>
        <w:numPr>
          <w:ilvl w:val="0"/>
          <w:numId w:val="3"/>
        </w:numPr>
        <w:spacing w:after="40" w:before="40"/>
      </w:pPr>
      <w:r>
        <w:rPr>
          <w:rFonts w:ascii="Arial" w:cs="Arial" w:eastAsia="Arial" w:hAnsi="Arial"/>
          <w:color w:val="111111"/>
          <w:sz w:val="22"/>
          <w:szCs w:val="22"/>
        </w:rPr>
        <w:t xml:space="preserve">India-China border tensions (LAC): Defence sector opportunity scoring</w:t>
      </w:r>
    </w:p>
    <w:p>
      <w:pPr>
        <w:pStyle w:val="ListParagraph"/>
        <w:numPr>
          <w:ilvl w:val="0"/>
          <w:numId w:val="3"/>
        </w:numPr>
        <w:spacing w:after="40" w:before="40"/>
      </w:pPr>
      <w:r>
        <w:rPr>
          <w:rFonts w:ascii="Arial" w:cs="Arial" w:eastAsia="Arial" w:hAnsi="Arial"/>
          <w:color w:val="111111"/>
          <w:sz w:val="22"/>
          <w:szCs w:val="22"/>
        </w:rPr>
        <w:t xml:space="preserve">US Fed and ECB rate decisions: Impact on FII flows, NBFC margins, and currency</w:t>
      </w:r>
    </w:p>
    <w:p>
      <w:pPr>
        <w:pStyle w:val="ListParagraph"/>
        <w:numPr>
          <w:ilvl w:val="0"/>
          <w:numId w:val="3"/>
        </w:numPr>
        <w:spacing w:after="40" w:before="40"/>
      </w:pPr>
      <w:r>
        <w:rPr>
          <w:rFonts w:ascii="Arial" w:cs="Arial" w:eastAsia="Arial" w:hAnsi="Arial"/>
          <w:color w:val="111111"/>
          <w:sz w:val="22"/>
          <w:szCs w:val="22"/>
        </w:rPr>
        <w:t xml:space="preserve">OPEC decisions: Crude price impact on oil marketing companies, aviation, chemicals, paint</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7.3 Structural Opportunity Tracking</w:t>
      </w:r>
    </w:p>
    <w:p>
      <w:pPr>
        <w:pStyle w:val="ListParagraph"/>
        <w:numPr>
          <w:ilvl w:val="0"/>
          <w:numId w:val="3"/>
        </w:numPr>
        <w:spacing w:after="40" w:before="40"/>
      </w:pPr>
      <w:r>
        <w:rPr>
          <w:rFonts w:ascii="Arial" w:cs="Arial" w:eastAsia="Arial" w:hAnsi="Arial"/>
          <w:color w:val="111111"/>
          <w:sz w:val="22"/>
          <w:szCs w:val="22"/>
        </w:rPr>
        <w:t xml:space="preserve">China+1 manufacturing shift: Identify Indian beneficiaries by sector and company</w:t>
      </w:r>
    </w:p>
    <w:p>
      <w:pPr>
        <w:pStyle w:val="ListParagraph"/>
        <w:numPr>
          <w:ilvl w:val="0"/>
          <w:numId w:val="3"/>
        </w:numPr>
        <w:spacing w:after="40" w:before="40"/>
      </w:pPr>
      <w:r>
        <w:rPr>
          <w:rFonts w:ascii="Arial" w:cs="Arial" w:eastAsia="Arial" w:hAnsi="Arial"/>
          <w:color w:val="111111"/>
          <w:sz w:val="22"/>
          <w:szCs w:val="22"/>
        </w:rPr>
        <w:t xml:space="preserve">India-EU Free Trade Agreement: Monitor progress and flag potential beneficiary sectors</w:t>
      </w:r>
    </w:p>
    <w:p>
      <w:pPr>
        <w:pStyle w:val="ListParagraph"/>
        <w:numPr>
          <w:ilvl w:val="0"/>
          <w:numId w:val="3"/>
        </w:numPr>
        <w:spacing w:after="40" w:before="40"/>
      </w:pPr>
      <w:r>
        <w:rPr>
          <w:rFonts w:ascii="Arial" w:cs="Arial" w:eastAsia="Arial" w:hAnsi="Arial"/>
          <w:color w:val="111111"/>
          <w:sz w:val="22"/>
          <w:szCs w:val="22"/>
        </w:rPr>
        <w:t xml:space="preserve">Semiconductor Mission: Track ISMC, Tata, and Micron fab project milestones</w:t>
      </w:r>
    </w:p>
    <w:p>
      <w:pPr>
        <w:pStyle w:val="ListParagraph"/>
        <w:numPr>
          <w:ilvl w:val="0"/>
          <w:numId w:val="3"/>
        </w:numPr>
        <w:spacing w:after="40" w:before="40"/>
      </w:pPr>
      <w:r>
        <w:rPr>
          <w:rFonts w:ascii="Arial" w:cs="Arial" w:eastAsia="Arial" w:hAnsi="Arial"/>
          <w:color w:val="111111"/>
          <w:sz w:val="22"/>
          <w:szCs w:val="22"/>
        </w:rPr>
        <w:t xml:space="preserve">Defence indigenisation: Monitor offset clauses and DRDO-approved vendor lists</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5" w:val="clear"/>
            <w:tcMar>
              <w:top w:type="dxa" w:w="200"/>
              <w:left w:type="dxa" w:w="240"/>
              <w:bottom w:type="dxa" w:w="200"/>
              <w:right w:type="dxa" w:w="240"/>
            </w:tcMar>
          </w:tcPr>
          <w:p>
            <w:pPr>
              <w:spacing w:after="80" w:before="0"/>
            </w:pPr>
            <w:r>
              <w:rPr>
                <w:rFonts w:ascii="Arial" w:cs="Arial" w:eastAsia="Arial" w:hAnsi="Arial"/>
                <w:b/>
                <w:bCs/>
                <w:color w:val="FFFFFF"/>
                <w:sz w:val="32"/>
                <w:szCs w:val="32"/>
              </w:rPr>
              <w:t xml:space="preserve">04  MODULE 2: STOCK PICKER</w:t>
            </w:r>
          </w:p>
          <w:p>
            <w:pPr>
              <w:spacing w:after="0" w:before="0"/>
            </w:pPr>
            <w:r>
              <w:rPr>
                <w:rFonts w:ascii="Arial" w:cs="Arial" w:eastAsia="Arial" w:hAnsi="Arial"/>
                <w:color w:val="AACCDD"/>
                <w:sz w:val="21"/>
                <w:szCs w:val="21"/>
              </w:rPr>
              <w:t xml:space="preserve">The AI-driven screening, ranking, and selection engine</w:t>
            </w:r>
          </w:p>
        </w:tc>
      </w:tr>
    </w:tbl>
    <w:p>
      <w:pPr>
        <w:spacing w:after="0" w:before="200"/>
      </w:pPr>
      <w:r>
        <w:t xml:space="preserve"/>
      </w:r>
    </w:p>
    <w:p>
      <w:pPr>
        <w:pStyle w:val="Heading1"/>
        <w:pBdr>
          <w:bottom w:val="single" w:color="007A6E" w:sz="6" w:space="4"/>
        </w:pBdr>
        <w:spacing w:after="160" w:before="320"/>
      </w:pPr>
      <w:r>
        <w:rPr>
          <w:rFonts w:ascii="Arial" w:cs="Arial" w:eastAsia="Arial" w:hAnsi="Arial"/>
          <w:b/>
          <w:bCs/>
          <w:color w:val="0D2B45"/>
          <w:sz w:val="36"/>
          <w:szCs w:val="36"/>
        </w:rPr>
        <w:t xml:space="preserve">4. Stock Picker — Complete Specification</w:t>
      </w:r>
    </w:p>
    <w:p>
      <w:pPr>
        <w:spacing w:after="60" w:before="60"/>
      </w:pPr>
      <w:r>
        <w:rPr>
          <w:rFonts w:ascii="Arial" w:cs="Arial" w:eastAsia="Arial" w:hAnsi="Arial"/>
          <w:color w:val="111111"/>
          <w:sz w:val="22"/>
          <w:szCs w:val="22"/>
        </w:rPr>
        <w:t xml:space="preserve">The Stock Picker is the second primary goal of the platform. It transforms the Analyser from a research tool into a decision-making engine. Instead of analysing one stock at a time, the Picker scans all 5,000+ NSE/BSE listed stocks simultaneously, applies multi-factor ranking, and surfaces the most compelling opportunities based on the user's defined criteria.</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4.1 The Alpha Score — Master Ranking System</w:t>
      </w:r>
    </w:p>
    <w:p>
      <w:pPr>
        <w:spacing w:after="60" w:before="60"/>
      </w:pPr>
      <w:r>
        <w:rPr>
          <w:rFonts w:ascii="Arial" w:cs="Arial" w:eastAsia="Arial" w:hAnsi="Arial"/>
          <w:color w:val="111111"/>
          <w:sz w:val="22"/>
          <w:szCs w:val="22"/>
        </w:rPr>
        <w:t xml:space="preserve">Every NSE/BSE listed stock receives a Composite Alpha Score from 0 to 100, updated in real time. This score is the weighted aggregation of signals from all seven intelligence layers.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560"/>
        <w:gridCol w:w="1800"/>
      </w:tblGrid>
      <w:tr>
        <w:trPr>
          <w:tblHeader/>
        </w:trPr>
        <w:tc>
          <w:tcPr>
            <w:tcW w:type="dxa" w:w="36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Intelligence Layer</w:t>
            </w:r>
          </w:p>
        </w:tc>
        <w:tc>
          <w:tcPr>
            <w:tcW w:type="dxa" w:w="24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Signal Inputs</w:t>
            </w:r>
          </w:p>
        </w:tc>
        <w:tc>
          <w:tcPr>
            <w:tcW w:type="dxa" w:w="156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 Weight</w:t>
            </w:r>
          </w:p>
        </w:tc>
        <w:tc>
          <w:tcPr>
            <w:tcW w:type="dxa" w:w="18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Adjustable?</w:t>
            </w:r>
          </w:p>
        </w:tc>
      </w:tr>
      <w:tr>
        <w:tc>
          <w:tcPr>
            <w:tcW w:type="dxa" w:w="3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Fundamental Quality Score</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ROE, ROCE, FCF yield, balance sheet strength</w:t>
            </w:r>
          </w:p>
        </w:tc>
        <w:tc>
          <w:tcPr>
            <w:tcW w:type="dxa" w:w="1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20%</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Yes</w:t>
            </w:r>
          </w:p>
        </w:tc>
      </w:tr>
      <w:tr>
        <w:tc>
          <w:tcPr>
            <w:tcW w:type="dxa" w:w="36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Valuation Score</w:t>
            </w:r>
          </w:p>
        </w:tc>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Discount to DCF, relative valuation vs peers</w:t>
            </w:r>
          </w:p>
        </w:tc>
        <w:tc>
          <w:tcPr>
            <w:tcW w:type="dxa" w:w="15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20%</w:t>
            </w:r>
          </w:p>
        </w:tc>
        <w:tc>
          <w:tcPr>
            <w:tcW w:type="dxa" w:w="18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Yes</w:t>
            </w:r>
          </w:p>
        </w:tc>
      </w:tr>
      <w:tr>
        <w:tc>
          <w:tcPr>
            <w:tcW w:type="dxa" w:w="3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Technical Momentum Score</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Price trend, volume, F&amp;O signals</w:t>
            </w:r>
          </w:p>
        </w:tc>
        <w:tc>
          <w:tcPr>
            <w:tcW w:type="dxa" w:w="1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15%</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Yes</w:t>
            </w:r>
          </w:p>
        </w:tc>
      </w:tr>
      <w:tr>
        <w:tc>
          <w:tcPr>
            <w:tcW w:type="dxa" w:w="36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News &amp; Sentiment Score</w:t>
            </w:r>
          </w:p>
        </w:tc>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24hr, 7D, 30D rolling sentiment</w:t>
            </w:r>
          </w:p>
        </w:tc>
        <w:tc>
          <w:tcPr>
            <w:tcW w:type="dxa" w:w="15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15%</w:t>
            </w:r>
          </w:p>
        </w:tc>
        <w:tc>
          <w:tcPr>
            <w:tcW w:type="dxa" w:w="18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Yes</w:t>
            </w:r>
          </w:p>
        </w:tc>
      </w:tr>
      <w:tr>
        <w:tc>
          <w:tcPr>
            <w:tcW w:type="dxa" w:w="3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Management Credibility Score</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Pledge, insider activity, governance, guidance accuracy</w:t>
            </w:r>
          </w:p>
        </w:tc>
        <w:tc>
          <w:tcPr>
            <w:tcW w:type="dxa" w:w="1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15%</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Yes</w:t>
            </w:r>
          </w:p>
        </w:tc>
      </w:tr>
      <w:tr>
        <w:tc>
          <w:tcPr>
            <w:tcW w:type="dxa" w:w="36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Trade Flow &amp; Sector Cycle Score</w:t>
            </w:r>
          </w:p>
        </w:tc>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Global cycle position, trade tailwind/headwind</w:t>
            </w:r>
          </w:p>
        </w:tc>
        <w:tc>
          <w:tcPr>
            <w:tcW w:type="dxa" w:w="15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10%</w:t>
            </w:r>
          </w:p>
        </w:tc>
        <w:tc>
          <w:tcPr>
            <w:tcW w:type="dxa" w:w="18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Yes</w:t>
            </w:r>
          </w:p>
        </w:tc>
      </w:tr>
      <w:tr>
        <w:tc>
          <w:tcPr>
            <w:tcW w:type="dxa" w:w="3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Geopolitical Opportunity Score</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Net geo signal: tailwind events vs headwind events</w:t>
            </w:r>
          </w:p>
        </w:tc>
        <w:tc>
          <w:tcPr>
            <w:tcW w:type="dxa" w:w="1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Yes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6E" w:sz="1"/>
              <w:left w:val="single" w:color="007A6E" w:sz="1"/>
              <w:bottom w:val="single" w:color="007A6E" w:sz="1"/>
              <w:right w:val="single" w:color="007A6E" w:sz="1"/>
            </w:tcBorders>
            <w:shd w:fill="E6F4F2" w:val="clear"/>
            <w:tcMar>
              <w:top w:type="dxa" w:w="120"/>
              <w:left w:type="dxa" w:w="160"/>
              <w:bottom w:type="dxa" w:w="120"/>
              <w:right w:type="dxa" w:w="160"/>
            </w:tcMar>
          </w:tcPr>
          <w:p>
            <w:pPr>
              <w:spacing w:after="60" w:before="0"/>
            </w:pPr>
            <w:r>
              <w:rPr>
                <w:rFonts w:ascii="Arial" w:cs="Arial" w:eastAsia="Arial" w:hAnsi="Arial"/>
                <w:b/>
                <w:bCs/>
                <w:color w:val="007A6E"/>
                <w:sz w:val="22"/>
                <w:szCs w:val="22"/>
              </w:rPr>
              <w:t xml:space="preserve">User Customisation</w:t>
            </w:r>
          </w:p>
          <w:p>
            <w:pPr>
              <w:spacing w:after="0" w:before="0"/>
            </w:pPr>
            <w:r>
              <w:rPr>
                <w:rFonts w:ascii="Arial" w:cs="Arial" w:eastAsia="Arial" w:hAnsi="Arial"/>
                <w:color w:val="111111"/>
                <w:sz w:val="21"/>
                <w:szCs w:val="21"/>
              </w:rPr>
              <w:t xml:space="preserve">Fund managers can adjust the weight of each layer to match their investment philosophy. A value investor can increase Valuation weight to 35%. A quant-momentum fund can increase Technical weight to 30%. The platform recalculates all Alpha Scores instantly on weight change.</w:t>
            </w:r>
          </w:p>
        </w:tc>
      </w:tr>
    </w:tbl>
    <w:p>
      <w:pPr>
        <w:spacing w:after="0" w:before="160"/>
      </w:pPr>
      <w:r>
        <w:t xml:space="preserve"/>
      </w:r>
    </w:p>
    <w:p>
      <w:pPr>
        <w:pStyle w:val="Heading2"/>
        <w:spacing w:after="120" w:before="240"/>
      </w:pPr>
      <w:r>
        <w:rPr>
          <w:rFonts w:ascii="Arial" w:cs="Arial" w:eastAsia="Arial" w:hAnsi="Arial"/>
          <w:b/>
          <w:bCs/>
          <w:color w:val="007A6E"/>
          <w:sz w:val="28"/>
          <w:szCs w:val="28"/>
        </w:rPr>
        <w:t xml:space="preserve">4.2 Smart Screener — All Filters</w:t>
      </w:r>
    </w:p>
    <w:p>
      <w:pPr>
        <w:spacing w:after="60" w:before="60"/>
      </w:pPr>
      <w:r>
        <w:rPr>
          <w:rFonts w:ascii="Arial" w:cs="Arial" w:eastAsia="Arial" w:hAnsi="Arial"/>
          <w:color w:val="111111"/>
          <w:sz w:val="22"/>
          <w:szCs w:val="22"/>
        </w:rPr>
        <w:t xml:space="preserve">The Smart Screener allows users to apply any combination of the following filters. The screener returns a ranked list of stocks sorted by Composite Alpha Score by default.</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Universe Filters</w:t>
      </w:r>
    </w:p>
    <w:p>
      <w:pPr>
        <w:pStyle w:val="ListParagraph"/>
        <w:numPr>
          <w:ilvl w:val="0"/>
          <w:numId w:val="3"/>
        </w:numPr>
        <w:spacing w:after="40" w:before="40"/>
      </w:pPr>
      <w:r>
        <w:rPr>
          <w:rFonts w:ascii="Arial" w:cs="Arial" w:eastAsia="Arial" w:hAnsi="Arial"/>
          <w:color w:val="111111"/>
          <w:sz w:val="22"/>
          <w:szCs w:val="22"/>
        </w:rPr>
        <w:t xml:space="preserve">Market Cap Category: Large Cap (&gt;Rs.20,000 Cr), Mid Cap (Rs.5,000-20,000 Cr), Small Cap (&lt;Rs.5,000 Cr)</w:t>
      </w:r>
    </w:p>
    <w:p>
      <w:pPr>
        <w:pStyle w:val="ListParagraph"/>
        <w:numPr>
          <w:ilvl w:val="0"/>
          <w:numId w:val="3"/>
        </w:numPr>
        <w:spacing w:after="40" w:before="40"/>
      </w:pPr>
      <w:r>
        <w:rPr>
          <w:rFonts w:ascii="Arial" w:cs="Arial" w:eastAsia="Arial" w:hAnsi="Arial"/>
          <w:color w:val="111111"/>
          <w:sz w:val="22"/>
          <w:szCs w:val="22"/>
        </w:rPr>
        <w:t xml:space="preserve">Index membership: Nifty50, Nifty100, Nifty200, Nifty Midcap150, Nifty Smallcap250</w:t>
      </w:r>
    </w:p>
    <w:p>
      <w:pPr>
        <w:pStyle w:val="ListParagraph"/>
        <w:numPr>
          <w:ilvl w:val="0"/>
          <w:numId w:val="3"/>
        </w:numPr>
        <w:spacing w:after="40" w:before="40"/>
      </w:pPr>
      <w:r>
        <w:rPr>
          <w:rFonts w:ascii="Arial" w:cs="Arial" w:eastAsia="Arial" w:hAnsi="Arial"/>
          <w:color w:val="111111"/>
          <w:sz w:val="22"/>
          <w:szCs w:val="22"/>
        </w:rPr>
        <w:t xml:space="preserve">Sector (21 GICS-aligned sectors): IT, Pharma, Financials, Industrials, Energy, FMCG, etc.</w:t>
      </w:r>
    </w:p>
    <w:p>
      <w:pPr>
        <w:pStyle w:val="ListParagraph"/>
        <w:numPr>
          <w:ilvl w:val="0"/>
          <w:numId w:val="3"/>
        </w:numPr>
        <w:spacing w:after="40" w:before="40"/>
      </w:pPr>
      <w:r>
        <w:rPr>
          <w:rFonts w:ascii="Arial" w:cs="Arial" w:eastAsia="Arial" w:hAnsi="Arial"/>
          <w:color w:val="111111"/>
          <w:sz w:val="22"/>
          <w:szCs w:val="22"/>
        </w:rPr>
        <w:t xml:space="preserve">Exchange: NSE only, BSE only, or both</w:t>
      </w:r>
    </w:p>
    <w:p>
      <w:pPr>
        <w:pStyle w:val="ListParagraph"/>
        <w:numPr>
          <w:ilvl w:val="0"/>
          <w:numId w:val="3"/>
        </w:numPr>
        <w:spacing w:after="40" w:before="40"/>
      </w:pPr>
      <w:r>
        <w:rPr>
          <w:rFonts w:ascii="Arial" w:cs="Arial" w:eastAsia="Arial" w:hAnsi="Arial"/>
          <w:color w:val="111111"/>
          <w:sz w:val="22"/>
          <w:szCs w:val="22"/>
        </w:rPr>
        <w:t xml:space="preserve">Liquidity: Minimum average daily traded value (ADTV) threshold</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Fundamental Filters</w:t>
      </w:r>
    </w:p>
    <w:p>
      <w:pPr>
        <w:pStyle w:val="ListParagraph"/>
        <w:numPr>
          <w:ilvl w:val="0"/>
          <w:numId w:val="3"/>
        </w:numPr>
        <w:spacing w:after="40" w:before="40"/>
      </w:pPr>
      <w:r>
        <w:rPr>
          <w:rFonts w:ascii="Arial" w:cs="Arial" w:eastAsia="Arial" w:hAnsi="Arial"/>
          <w:color w:val="111111"/>
          <w:sz w:val="22"/>
          <w:szCs w:val="22"/>
        </w:rPr>
        <w:t xml:space="preserve">Alpha Score: Set minimum threshold (e.g., only show stocks with Alpha &gt; 70)</w:t>
      </w:r>
    </w:p>
    <w:p>
      <w:pPr>
        <w:pStyle w:val="ListParagraph"/>
        <w:numPr>
          <w:ilvl w:val="0"/>
          <w:numId w:val="3"/>
        </w:numPr>
        <w:spacing w:after="40" w:before="40"/>
      </w:pPr>
      <w:r>
        <w:rPr>
          <w:rFonts w:ascii="Arial" w:cs="Arial" w:eastAsia="Arial" w:hAnsi="Arial"/>
          <w:color w:val="111111"/>
          <w:sz w:val="22"/>
          <w:szCs w:val="22"/>
        </w:rPr>
        <w:t xml:space="preserve">Revenue Growth: 1Y, 3Y CAGR minimum</w:t>
      </w:r>
    </w:p>
    <w:p>
      <w:pPr>
        <w:pStyle w:val="ListParagraph"/>
        <w:numPr>
          <w:ilvl w:val="0"/>
          <w:numId w:val="3"/>
        </w:numPr>
        <w:spacing w:after="40" w:before="40"/>
      </w:pPr>
      <w:r>
        <w:rPr>
          <w:rFonts w:ascii="Arial" w:cs="Arial" w:eastAsia="Arial" w:hAnsi="Arial"/>
          <w:color w:val="111111"/>
          <w:sz w:val="22"/>
          <w:szCs w:val="22"/>
        </w:rPr>
        <w:t xml:space="preserve">EBITDA Margin: Current or 3Y average minimum</w:t>
      </w:r>
    </w:p>
    <w:p>
      <w:pPr>
        <w:pStyle w:val="ListParagraph"/>
        <w:numPr>
          <w:ilvl w:val="0"/>
          <w:numId w:val="3"/>
        </w:numPr>
        <w:spacing w:after="40" w:before="40"/>
      </w:pPr>
      <w:r>
        <w:rPr>
          <w:rFonts w:ascii="Arial" w:cs="Arial" w:eastAsia="Arial" w:hAnsi="Arial"/>
          <w:color w:val="111111"/>
          <w:sz w:val="22"/>
          <w:szCs w:val="22"/>
        </w:rPr>
        <w:t xml:space="preserve">ROE and ROCE: Minimum thresholds</w:t>
      </w:r>
    </w:p>
    <w:p>
      <w:pPr>
        <w:pStyle w:val="ListParagraph"/>
        <w:numPr>
          <w:ilvl w:val="0"/>
          <w:numId w:val="3"/>
        </w:numPr>
        <w:spacing w:after="40" w:before="40"/>
      </w:pPr>
      <w:r>
        <w:rPr>
          <w:rFonts w:ascii="Arial" w:cs="Arial" w:eastAsia="Arial" w:hAnsi="Arial"/>
          <w:color w:val="111111"/>
          <w:sz w:val="22"/>
          <w:szCs w:val="22"/>
        </w:rPr>
        <w:t xml:space="preserve">Debt/EBITDA: Maximum threshold</w:t>
      </w:r>
    </w:p>
    <w:p>
      <w:pPr>
        <w:pStyle w:val="ListParagraph"/>
        <w:numPr>
          <w:ilvl w:val="0"/>
          <w:numId w:val="3"/>
        </w:numPr>
        <w:spacing w:after="40" w:before="40"/>
      </w:pPr>
      <w:r>
        <w:rPr>
          <w:rFonts w:ascii="Arial" w:cs="Arial" w:eastAsia="Arial" w:hAnsi="Arial"/>
          <w:color w:val="111111"/>
          <w:sz w:val="22"/>
          <w:szCs w:val="22"/>
        </w:rPr>
        <w:t xml:space="preserve">Promoter holding: Minimum percentage</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Valuation Filters</w:t>
      </w:r>
    </w:p>
    <w:p>
      <w:pPr>
        <w:pStyle w:val="ListParagraph"/>
        <w:numPr>
          <w:ilvl w:val="0"/>
          <w:numId w:val="3"/>
        </w:numPr>
        <w:spacing w:after="40" w:before="40"/>
      </w:pPr>
      <w:r>
        <w:rPr>
          <w:rFonts w:ascii="Arial" w:cs="Arial" w:eastAsia="Arial" w:hAnsi="Arial"/>
          <w:color w:val="111111"/>
          <w:sz w:val="22"/>
          <w:szCs w:val="22"/>
        </w:rPr>
        <w:t xml:space="preserve">Upside to DCF Base Case: Minimum margin of safety (e.g., &gt;20% upside)</w:t>
      </w:r>
    </w:p>
    <w:p>
      <w:pPr>
        <w:pStyle w:val="ListParagraph"/>
        <w:numPr>
          <w:ilvl w:val="0"/>
          <w:numId w:val="3"/>
        </w:numPr>
        <w:spacing w:after="40" w:before="40"/>
      </w:pPr>
      <w:r>
        <w:rPr>
          <w:rFonts w:ascii="Arial" w:cs="Arial" w:eastAsia="Arial" w:hAnsi="Arial"/>
          <w:color w:val="111111"/>
          <w:sz w:val="22"/>
          <w:szCs w:val="22"/>
        </w:rPr>
        <w:t xml:space="preserve">P/E: Range filter (min and max)</w:t>
      </w:r>
    </w:p>
    <w:p>
      <w:pPr>
        <w:pStyle w:val="ListParagraph"/>
        <w:numPr>
          <w:ilvl w:val="0"/>
          <w:numId w:val="3"/>
        </w:numPr>
        <w:spacing w:after="40" w:before="40"/>
      </w:pPr>
      <w:r>
        <w:rPr>
          <w:rFonts w:ascii="Arial" w:cs="Arial" w:eastAsia="Arial" w:hAnsi="Arial"/>
          <w:color w:val="111111"/>
          <w:sz w:val="22"/>
          <w:szCs w:val="22"/>
        </w:rPr>
        <w:t xml:space="preserve">EV/EBITDA: Range filter</w:t>
      </w:r>
    </w:p>
    <w:p>
      <w:pPr>
        <w:pStyle w:val="ListParagraph"/>
        <w:numPr>
          <w:ilvl w:val="0"/>
          <w:numId w:val="3"/>
        </w:numPr>
        <w:spacing w:after="40" w:before="40"/>
      </w:pPr>
      <w:r>
        <w:rPr>
          <w:rFonts w:ascii="Arial" w:cs="Arial" w:eastAsia="Arial" w:hAnsi="Arial"/>
          <w:color w:val="111111"/>
          <w:sz w:val="22"/>
          <w:szCs w:val="22"/>
        </w:rPr>
        <w:t xml:space="preserve">P/B: Maximum threshold (for asset-heavy sectors)</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Alternative Data Filters</w:t>
      </w:r>
    </w:p>
    <w:p>
      <w:pPr>
        <w:pStyle w:val="ListParagraph"/>
        <w:numPr>
          <w:ilvl w:val="0"/>
          <w:numId w:val="3"/>
        </w:numPr>
        <w:spacing w:after="40" w:before="40"/>
      </w:pPr>
      <w:r>
        <w:rPr>
          <w:rFonts w:ascii="Arial" w:cs="Arial" w:eastAsia="Arial" w:hAnsi="Arial"/>
          <w:color w:val="111111"/>
          <w:sz w:val="22"/>
          <w:szCs w:val="22"/>
        </w:rPr>
        <w:t xml:space="preserve">Management Credibility Score: Minimum threshold</w:t>
      </w:r>
    </w:p>
    <w:p>
      <w:pPr>
        <w:pStyle w:val="ListParagraph"/>
        <w:numPr>
          <w:ilvl w:val="0"/>
          <w:numId w:val="3"/>
        </w:numPr>
        <w:spacing w:after="40" w:before="40"/>
      </w:pPr>
      <w:r>
        <w:rPr>
          <w:rFonts w:ascii="Arial" w:cs="Arial" w:eastAsia="Arial" w:hAnsi="Arial"/>
          <w:color w:val="111111"/>
          <w:sz w:val="22"/>
          <w:szCs w:val="22"/>
        </w:rPr>
        <w:t xml:space="preserve">Global Sector Cycle: Early Stage / Mid Stage / Late Stage / Recovery</w:t>
      </w:r>
    </w:p>
    <w:p>
      <w:pPr>
        <w:pStyle w:val="ListParagraph"/>
        <w:numPr>
          <w:ilvl w:val="0"/>
          <w:numId w:val="3"/>
        </w:numPr>
        <w:spacing w:after="40" w:before="40"/>
      </w:pPr>
      <w:r>
        <w:rPr>
          <w:rFonts w:ascii="Arial" w:cs="Arial" w:eastAsia="Arial" w:hAnsi="Arial"/>
          <w:color w:val="111111"/>
          <w:sz w:val="22"/>
          <w:szCs w:val="22"/>
        </w:rPr>
        <w:t xml:space="preserve">Geopolitical Signal: Tailwind / Headwind / Neutral</w:t>
      </w:r>
    </w:p>
    <w:p>
      <w:pPr>
        <w:pStyle w:val="ListParagraph"/>
        <w:numPr>
          <w:ilvl w:val="0"/>
          <w:numId w:val="3"/>
        </w:numPr>
        <w:spacing w:after="40" w:before="40"/>
      </w:pPr>
      <w:r>
        <w:rPr>
          <w:rFonts w:ascii="Arial" w:cs="Arial" w:eastAsia="Arial" w:hAnsi="Arial"/>
          <w:color w:val="111111"/>
          <w:sz w:val="22"/>
          <w:szCs w:val="22"/>
        </w:rPr>
        <w:t xml:space="preserve">News Sentiment (30D): Net Bullish / Net Bearish / Neutral</w:t>
      </w:r>
    </w:p>
    <w:p>
      <w:pPr>
        <w:pStyle w:val="ListParagraph"/>
        <w:numPr>
          <w:ilvl w:val="0"/>
          <w:numId w:val="3"/>
        </w:numPr>
        <w:spacing w:after="40" w:before="40"/>
      </w:pPr>
      <w:r>
        <w:rPr>
          <w:rFonts w:ascii="Arial" w:cs="Arial" w:eastAsia="Arial" w:hAnsi="Arial"/>
          <w:color w:val="111111"/>
          <w:sz w:val="22"/>
          <w:szCs w:val="22"/>
        </w:rPr>
        <w:t xml:space="preserve">Promoter Pledge: Maximum percentage allowed</w:t>
      </w:r>
    </w:p>
    <w:p>
      <w:pPr>
        <w:pStyle w:val="ListParagraph"/>
        <w:numPr>
          <w:ilvl w:val="0"/>
          <w:numId w:val="3"/>
        </w:numPr>
        <w:spacing w:after="40" w:before="40"/>
      </w:pPr>
      <w:r>
        <w:rPr>
          <w:rFonts w:ascii="Arial" w:cs="Arial" w:eastAsia="Arial" w:hAnsi="Arial"/>
          <w:color w:val="111111"/>
          <w:sz w:val="22"/>
          <w:szCs w:val="22"/>
        </w:rPr>
        <w:t xml:space="preserve">Trade Flow Signal: Export growth positive / Import cost reduction / Neutral</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4.3 Natural Language Query Interface</w:t>
      </w:r>
    </w:p>
    <w:p>
      <w:pPr>
        <w:spacing w:after="60" w:before="60"/>
      </w:pPr>
      <w:r>
        <w:rPr>
          <w:rFonts w:ascii="Arial" w:cs="Arial" w:eastAsia="Arial" w:hAnsi="Arial"/>
          <w:color w:val="111111"/>
          <w:sz w:val="22"/>
          <w:szCs w:val="22"/>
        </w:rPr>
        <w:t xml:space="preserve">Users can bypass manual filter selection and simply type or speak their investment thesis in plain English. The NL Query engine interprets the request and runs the appropriate combination of filters and screens automatically.</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Example Queries and What the System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Natural Language Query</w:t>
            </w:r>
          </w:p>
        </w:tc>
        <w:tc>
          <w:tcPr>
            <w:tcW w:type="dxa" w:w="516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System Actions Triggered</w:t>
            </w:r>
          </w:p>
        </w:tc>
      </w:tr>
      <w:tr>
        <w:tc>
          <w:tcPr>
            <w:tcW w:type="dxa" w:w="4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Show me undervalued mid-cap pharma with FDA tailwind</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Sector=Pharma, MCap=Mid, Upside to DCF&gt;20%, Trade Signal=FDA Positive</w:t>
            </w:r>
          </w:p>
        </w:tc>
      </w:tr>
      <w:tr>
        <w:tc>
          <w:tcPr>
            <w:tcW w:type="dxa" w:w="42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Which infrastructure companies benefit from Budget capex?</w:t>
            </w:r>
          </w:p>
        </w:tc>
        <w:tc>
          <w:tcPr>
            <w:tcW w:type="dxa" w:w="51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Sector=Infra+Capital Goods, Geo Signal=Budget Tailwind, Alpha&gt;65</w:t>
            </w:r>
          </w:p>
        </w:tc>
      </w:tr>
      <w:tr>
        <w:tc>
          <w:tcPr>
            <w:tcW w:type="dxa" w:w="4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High-quality businesses where promoters are buying</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Mgmt Score&gt;75, Insider Transaction=Buy, ROE&gt;15%, Pledge&lt;5%</w:t>
            </w:r>
          </w:p>
        </w:tc>
      </w:tr>
      <w:tr>
        <w:tc>
          <w:tcPr>
            <w:tcW w:type="dxa" w:w="42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Defence stocks in early sector cycle with strong management</w:t>
            </w:r>
          </w:p>
        </w:tc>
        <w:tc>
          <w:tcPr>
            <w:tcW w:type="dxa" w:w="51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Sector=Defence, Cycle=Early, Mgmt Score&gt;75</w:t>
            </w:r>
          </w:p>
        </w:tc>
      </w:tr>
      <w:tr>
        <w:tc>
          <w:tcPr>
            <w:tcW w:type="dxa" w:w="4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Stocks that will benefit if crude oil falls below $70</w:t>
            </w:r>
          </w:p>
        </w:tc>
        <w:tc>
          <w:tcPr>
            <w:tcW w:type="dxa" w:w="5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Geo Tag=Oil Price Sensitivity Beneficiary, Sector auto-filter</w:t>
            </w:r>
          </w:p>
        </w:tc>
      </w:tr>
      <w:tr>
        <w:tc>
          <w:tcPr>
            <w:tcW w:type="dxa" w:w="42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Give me the Suzlon full investment case</w:t>
            </w:r>
          </w:p>
        </w:tc>
        <w:tc>
          <w:tcPr>
            <w:tcW w:type="dxa" w:w="51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Single stock deep dive: all 7 layers + DCF + report generation</w:t>
            </w:r>
          </w:p>
        </w:tc>
      </w:tr>
    </w:tbl>
    <w:p>
      <w:pPr>
        <w:spacing w:after="0" w:before="160"/>
      </w:pPr>
      <w:r>
        <w:t xml:space="preserve"/>
      </w:r>
    </w:p>
    <w:p>
      <w:pPr>
        <w:pStyle w:val="Heading2"/>
        <w:spacing w:after="120" w:before="240"/>
      </w:pPr>
      <w:r>
        <w:rPr>
          <w:rFonts w:ascii="Arial" w:cs="Arial" w:eastAsia="Arial" w:hAnsi="Arial"/>
          <w:b/>
          <w:bCs/>
          <w:color w:val="007A6E"/>
          <w:sz w:val="28"/>
          <w:szCs w:val="28"/>
        </w:rPr>
        <w:t xml:space="preserve">4.4 Stock Ranking Output — What the User Sees</w:t>
      </w:r>
    </w:p>
    <w:p>
      <w:pPr>
        <w:spacing w:after="60" w:before="60"/>
      </w:pPr>
      <w:r>
        <w:rPr>
          <w:rFonts w:ascii="Arial" w:cs="Arial" w:eastAsia="Arial" w:hAnsi="Arial"/>
          <w:color w:val="111111"/>
          <w:sz w:val="22"/>
          <w:szCs w:val="22"/>
        </w:rPr>
        <w:t xml:space="preserve">After a screener query, results are displayed in an interactive table with the following columns per stock:</w:t>
      </w:r>
    </w:p>
    <w:p>
      <w:pPr>
        <w:spacing w:after="0" w:before="120"/>
      </w:pPr>
      <w:r>
        <w:t xml:space="preserve"/>
      </w:r>
    </w:p>
    <w:p>
      <w:pPr>
        <w:pStyle w:val="ListParagraph"/>
        <w:numPr>
          <w:ilvl w:val="0"/>
          <w:numId w:val="3"/>
        </w:numPr>
        <w:spacing w:after="40" w:before="40"/>
      </w:pPr>
      <w:r>
        <w:rPr>
          <w:rFonts w:ascii="Arial" w:cs="Arial" w:eastAsia="Arial" w:hAnsi="Arial"/>
          <w:color w:val="111111"/>
          <w:sz w:val="22"/>
          <w:szCs w:val="22"/>
        </w:rPr>
        <w:t xml:space="preserve">Company Name + Sector tag</w:t>
      </w:r>
    </w:p>
    <w:p>
      <w:pPr>
        <w:pStyle w:val="ListParagraph"/>
        <w:numPr>
          <w:ilvl w:val="0"/>
          <w:numId w:val="3"/>
        </w:numPr>
        <w:spacing w:after="40" w:before="40"/>
      </w:pPr>
      <w:r>
        <w:rPr>
          <w:rFonts w:ascii="Arial" w:cs="Arial" w:eastAsia="Arial" w:hAnsi="Arial"/>
          <w:color w:val="111111"/>
          <w:sz w:val="22"/>
          <w:szCs w:val="22"/>
        </w:rPr>
        <w:t xml:space="preserve">Composite Alpha Score (colour-coded: Green &gt;80, Amber 60-80, Red &lt;60)</w:t>
      </w:r>
    </w:p>
    <w:p>
      <w:pPr>
        <w:pStyle w:val="ListParagraph"/>
        <w:numPr>
          <w:ilvl w:val="0"/>
          <w:numId w:val="3"/>
        </w:numPr>
        <w:spacing w:after="40" w:before="40"/>
      </w:pPr>
      <w:r>
        <w:rPr>
          <w:rFonts w:ascii="Arial" w:cs="Arial" w:eastAsia="Arial" w:hAnsi="Arial"/>
          <w:color w:val="111111"/>
          <w:sz w:val="22"/>
          <w:szCs w:val="22"/>
        </w:rPr>
        <w:t xml:space="preserve">Current Market Price</w:t>
      </w:r>
    </w:p>
    <w:p>
      <w:pPr>
        <w:pStyle w:val="ListParagraph"/>
        <w:numPr>
          <w:ilvl w:val="0"/>
          <w:numId w:val="3"/>
        </w:numPr>
        <w:spacing w:after="40" w:before="40"/>
      </w:pPr>
      <w:r>
        <w:rPr>
          <w:rFonts w:ascii="Arial" w:cs="Arial" w:eastAsia="Arial" w:hAnsi="Arial"/>
          <w:color w:val="111111"/>
          <w:sz w:val="22"/>
          <w:szCs w:val="22"/>
        </w:rPr>
        <w:t xml:space="preserve">DCF Intrinsic Value (Base Case) and Upside/Downside %</w:t>
      </w:r>
    </w:p>
    <w:p>
      <w:pPr>
        <w:pStyle w:val="ListParagraph"/>
        <w:numPr>
          <w:ilvl w:val="0"/>
          <w:numId w:val="3"/>
        </w:numPr>
        <w:spacing w:after="40" w:before="40"/>
      </w:pPr>
      <w:r>
        <w:rPr>
          <w:rFonts w:ascii="Arial" w:cs="Arial" w:eastAsia="Arial" w:hAnsi="Arial"/>
          <w:color w:val="111111"/>
          <w:sz w:val="22"/>
          <w:szCs w:val="22"/>
        </w:rPr>
        <w:t xml:space="preserve">Management Credibility Score</w:t>
      </w:r>
    </w:p>
    <w:p>
      <w:pPr>
        <w:pStyle w:val="ListParagraph"/>
        <w:numPr>
          <w:ilvl w:val="0"/>
          <w:numId w:val="3"/>
        </w:numPr>
        <w:spacing w:after="40" w:before="40"/>
      </w:pPr>
      <w:r>
        <w:rPr>
          <w:rFonts w:ascii="Arial" w:cs="Arial" w:eastAsia="Arial" w:hAnsi="Arial"/>
          <w:color w:val="111111"/>
          <w:sz w:val="22"/>
          <w:szCs w:val="22"/>
        </w:rPr>
        <w:t xml:space="preserve">Global Sector Cycle Stage</w:t>
      </w:r>
    </w:p>
    <w:p>
      <w:pPr>
        <w:pStyle w:val="ListParagraph"/>
        <w:numPr>
          <w:ilvl w:val="0"/>
          <w:numId w:val="3"/>
        </w:numPr>
        <w:spacing w:after="40" w:before="40"/>
      </w:pPr>
      <w:r>
        <w:rPr>
          <w:rFonts w:ascii="Arial" w:cs="Arial" w:eastAsia="Arial" w:hAnsi="Arial"/>
          <w:color w:val="111111"/>
          <w:sz w:val="22"/>
          <w:szCs w:val="22"/>
        </w:rPr>
        <w:t xml:space="preserve">Geopolitical Signal (Tailwind / Headwind / Neutral)</w:t>
      </w:r>
    </w:p>
    <w:p>
      <w:pPr>
        <w:pStyle w:val="ListParagraph"/>
        <w:numPr>
          <w:ilvl w:val="0"/>
          <w:numId w:val="3"/>
        </w:numPr>
        <w:spacing w:after="40" w:before="40"/>
      </w:pPr>
      <w:r>
        <w:rPr>
          <w:rFonts w:ascii="Arial" w:cs="Arial" w:eastAsia="Arial" w:hAnsi="Arial"/>
          <w:color w:val="111111"/>
          <w:sz w:val="22"/>
          <w:szCs w:val="22"/>
        </w:rPr>
        <w:t xml:space="preserve">30-Day News Sentiment (Net Bullish / Net Bearish)</w:t>
      </w:r>
    </w:p>
    <w:p>
      <w:pPr>
        <w:pStyle w:val="ListParagraph"/>
        <w:numPr>
          <w:ilvl w:val="0"/>
          <w:numId w:val="3"/>
        </w:numPr>
        <w:spacing w:after="40" w:before="40"/>
      </w:pPr>
      <w:r>
        <w:rPr>
          <w:rFonts w:ascii="Arial" w:cs="Arial" w:eastAsia="Arial" w:hAnsi="Arial"/>
          <w:color w:val="111111"/>
          <w:sz w:val="22"/>
          <w:szCs w:val="22"/>
        </w:rPr>
        <w:t xml:space="preserve">Risk Level (Low / Medium / High)</w:t>
      </w:r>
    </w:p>
    <w:p>
      <w:pPr>
        <w:pStyle w:val="ListParagraph"/>
        <w:numPr>
          <w:ilvl w:val="0"/>
          <w:numId w:val="3"/>
        </w:numPr>
        <w:spacing w:after="40" w:before="40"/>
      </w:pPr>
      <w:r>
        <w:rPr>
          <w:rFonts w:ascii="Arial" w:cs="Arial" w:eastAsia="Arial" w:hAnsi="Arial"/>
          <w:color w:val="111111"/>
          <w:sz w:val="22"/>
          <w:szCs w:val="22"/>
        </w:rPr>
        <w:t xml:space="preserve">One-click to open full Stock Analyser for any result</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5" w:val="clear"/>
            <w:tcMar>
              <w:top w:type="dxa" w:w="200"/>
              <w:left w:type="dxa" w:w="240"/>
              <w:bottom w:type="dxa" w:w="200"/>
              <w:right w:type="dxa" w:w="240"/>
            </w:tcMar>
          </w:tcPr>
          <w:p>
            <w:pPr>
              <w:spacing w:after="80" w:before="0"/>
            </w:pPr>
            <w:r>
              <w:rPr>
                <w:rFonts w:ascii="Arial" w:cs="Arial" w:eastAsia="Arial" w:hAnsi="Arial"/>
                <w:b/>
                <w:bCs/>
                <w:color w:val="FFFFFF"/>
                <w:sz w:val="32"/>
                <w:szCs w:val="32"/>
              </w:rPr>
              <w:t xml:space="preserve">05  ALL PLATFORM FUNCTIONS</w:t>
            </w:r>
          </w:p>
          <w:p>
            <w:pPr>
              <w:spacing w:after="0" w:before="0"/>
            </w:pPr>
            <w:r>
              <w:rPr>
                <w:rFonts w:ascii="Arial" w:cs="Arial" w:eastAsia="Arial" w:hAnsi="Arial"/>
                <w:color w:val="AACCDD"/>
                <w:sz w:val="21"/>
                <w:szCs w:val="21"/>
              </w:rPr>
              <w:t xml:space="preserve">Complete feature inventory across every module</w:t>
            </w:r>
          </w:p>
        </w:tc>
      </w:tr>
    </w:tbl>
    <w:p>
      <w:pPr>
        <w:spacing w:after="0" w:before="200"/>
      </w:pPr>
      <w:r>
        <w:t xml:space="preserve"/>
      </w:r>
    </w:p>
    <w:p>
      <w:pPr>
        <w:pStyle w:val="Heading1"/>
        <w:pBdr>
          <w:bottom w:val="single" w:color="007A6E" w:sz="6" w:space="4"/>
        </w:pBdr>
        <w:spacing w:after="160" w:before="320"/>
      </w:pPr>
      <w:r>
        <w:rPr>
          <w:rFonts w:ascii="Arial" w:cs="Arial" w:eastAsia="Arial" w:hAnsi="Arial"/>
          <w:b/>
          <w:bCs/>
          <w:color w:val="0D2B45"/>
          <w:sz w:val="36"/>
          <w:szCs w:val="36"/>
        </w:rPr>
        <w:t xml:space="preserve">5. Complete Function Inventory</w:t>
      </w:r>
    </w:p>
    <w:p>
      <w:pPr>
        <w:pStyle w:val="Heading2"/>
        <w:spacing w:after="120" w:before="240"/>
      </w:pPr>
      <w:r>
        <w:rPr>
          <w:rFonts w:ascii="Arial" w:cs="Arial" w:eastAsia="Arial" w:hAnsi="Arial"/>
          <w:b/>
          <w:bCs/>
          <w:color w:val="007A6E"/>
          <w:sz w:val="28"/>
          <w:szCs w:val="28"/>
        </w:rPr>
        <w:t xml:space="preserve">5.1 Command Dashboard</w:t>
      </w:r>
    </w:p>
    <w:p>
      <w:pPr>
        <w:pStyle w:val="ListParagraph"/>
        <w:numPr>
          <w:ilvl w:val="0"/>
          <w:numId w:val="3"/>
        </w:numPr>
        <w:spacing w:after="40" w:before="40"/>
      </w:pPr>
      <w:r>
        <w:rPr>
          <w:rFonts w:ascii="Arial" w:cs="Arial" w:eastAsia="Arial" w:hAnsi="Arial"/>
          <w:color w:val="111111"/>
          <w:sz w:val="22"/>
          <w:szCs w:val="22"/>
        </w:rPr>
        <w:t xml:space="preserve">Market Pulse Widget: Nifty50, Nifty Bank, Nifty Midcap150, India VIX live with day change</w:t>
      </w:r>
    </w:p>
    <w:p>
      <w:pPr>
        <w:pStyle w:val="ListParagraph"/>
        <w:numPr>
          <w:ilvl w:val="0"/>
          <w:numId w:val="3"/>
        </w:numPr>
        <w:spacing w:after="40" w:before="40"/>
      </w:pPr>
      <w:r>
        <w:rPr>
          <w:rFonts w:ascii="Arial" w:cs="Arial" w:eastAsia="Arial" w:hAnsi="Arial"/>
          <w:color w:val="111111"/>
          <w:sz w:val="22"/>
          <w:szCs w:val="22"/>
        </w:rPr>
        <w:t xml:space="preserve">FII/DII Net Activity: Cash market and F&amp;O net positions, updated daily</w:t>
      </w:r>
    </w:p>
    <w:p>
      <w:pPr>
        <w:pStyle w:val="ListParagraph"/>
        <w:numPr>
          <w:ilvl w:val="0"/>
          <w:numId w:val="3"/>
        </w:numPr>
        <w:spacing w:after="40" w:before="40"/>
      </w:pPr>
      <w:r>
        <w:rPr>
          <w:rFonts w:ascii="Arial" w:cs="Arial" w:eastAsia="Arial" w:hAnsi="Arial"/>
          <w:color w:val="111111"/>
          <w:sz w:val="22"/>
          <w:szCs w:val="22"/>
        </w:rPr>
        <w:t xml:space="preserve">My Watchlist: Custom stock list with live Alpha Score, price, and sentiment indicator</w:t>
      </w:r>
    </w:p>
    <w:p>
      <w:pPr>
        <w:pStyle w:val="ListParagraph"/>
        <w:numPr>
          <w:ilvl w:val="0"/>
          <w:numId w:val="3"/>
        </w:numPr>
        <w:spacing w:after="40" w:before="40"/>
      </w:pPr>
      <w:r>
        <w:rPr>
          <w:rFonts w:ascii="Arial" w:cs="Arial" w:eastAsia="Arial" w:hAnsi="Arial"/>
          <w:color w:val="111111"/>
          <w:sz w:val="22"/>
          <w:szCs w:val="22"/>
        </w:rPr>
        <w:t xml:space="preserve">AI Morning Briefing: Auto-generated 5-point market summary at 8:30 AM every trading day</w:t>
      </w:r>
    </w:p>
    <w:p>
      <w:pPr>
        <w:pStyle w:val="ListParagraph"/>
        <w:numPr>
          <w:ilvl w:val="0"/>
          <w:numId w:val="3"/>
        </w:numPr>
        <w:spacing w:after="40" w:before="40"/>
      </w:pPr>
      <w:r>
        <w:rPr>
          <w:rFonts w:ascii="Arial" w:cs="Arial" w:eastAsia="Arial" w:hAnsi="Arial"/>
          <w:color w:val="111111"/>
          <w:sz w:val="22"/>
          <w:szCs w:val="22"/>
        </w:rPr>
        <w:t xml:space="preserve">Portfolio Performance: Daily, weekly, monthly P&amp;L for virtual portfolio</w:t>
      </w:r>
    </w:p>
    <w:p>
      <w:pPr>
        <w:pStyle w:val="ListParagraph"/>
        <w:numPr>
          <w:ilvl w:val="0"/>
          <w:numId w:val="3"/>
        </w:numPr>
        <w:spacing w:after="40" w:before="40"/>
      </w:pPr>
      <w:r>
        <w:rPr>
          <w:rFonts w:ascii="Arial" w:cs="Arial" w:eastAsia="Arial" w:hAnsi="Arial"/>
          <w:color w:val="111111"/>
          <w:sz w:val="22"/>
          <w:szCs w:val="22"/>
        </w:rPr>
        <w:t xml:space="preserve">Alert Inbox: All triggered alerts from monitoring layer in chronological order</w:t>
      </w:r>
    </w:p>
    <w:p>
      <w:pPr>
        <w:pStyle w:val="ListParagraph"/>
        <w:numPr>
          <w:ilvl w:val="0"/>
          <w:numId w:val="3"/>
        </w:numPr>
        <w:spacing w:after="40" w:before="40"/>
      </w:pPr>
      <w:r>
        <w:rPr>
          <w:rFonts w:ascii="Arial" w:cs="Arial" w:eastAsia="Arial" w:hAnsi="Arial"/>
          <w:color w:val="111111"/>
          <w:sz w:val="22"/>
          <w:szCs w:val="22"/>
        </w:rPr>
        <w:t xml:space="preserve">Top Alpha Movers: Stocks with biggest Alpha Score change in last 24 hours</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5.2 Stock Analyser Functions</w:t>
      </w:r>
    </w:p>
    <w:p>
      <w:pPr>
        <w:pStyle w:val="ListParagraph"/>
        <w:numPr>
          <w:ilvl w:val="0"/>
          <w:numId w:val="3"/>
        </w:numPr>
        <w:spacing w:after="40" w:before="40"/>
      </w:pPr>
      <w:r>
        <w:rPr>
          <w:rFonts w:ascii="Arial" w:cs="Arial" w:eastAsia="Arial" w:hAnsi="Arial"/>
          <w:color w:val="111111"/>
          <w:sz w:val="22"/>
          <w:szCs w:val="22"/>
        </w:rPr>
        <w:t xml:space="preserve">One-click full 7-layer analysis for any NSE/BSE stock</w:t>
      </w:r>
    </w:p>
    <w:p>
      <w:pPr>
        <w:pStyle w:val="ListParagraph"/>
        <w:numPr>
          <w:ilvl w:val="0"/>
          <w:numId w:val="3"/>
        </w:numPr>
        <w:spacing w:after="40" w:before="40"/>
      </w:pPr>
      <w:r>
        <w:rPr>
          <w:rFonts w:ascii="Arial" w:cs="Arial" w:eastAsia="Arial" w:hAnsi="Arial"/>
          <w:color w:val="111111"/>
          <w:sz w:val="22"/>
          <w:szCs w:val="22"/>
        </w:rPr>
        <w:t xml:space="preserve">Interactive financial charts: Revenue, margins, ROCE, debt trends over 10 years</w:t>
      </w:r>
    </w:p>
    <w:p>
      <w:pPr>
        <w:pStyle w:val="ListParagraph"/>
        <w:numPr>
          <w:ilvl w:val="0"/>
          <w:numId w:val="3"/>
        </w:numPr>
        <w:spacing w:after="40" w:before="40"/>
      </w:pPr>
      <w:r>
        <w:rPr>
          <w:rFonts w:ascii="Arial" w:cs="Arial" w:eastAsia="Arial" w:hAnsi="Arial"/>
          <w:color w:val="111111"/>
          <w:sz w:val="22"/>
          <w:szCs w:val="22"/>
        </w:rPr>
        <w:t xml:space="preserve">Peer comparison table: Auto-populated with 5 closest competitors across all metrics</w:t>
      </w:r>
    </w:p>
    <w:p>
      <w:pPr>
        <w:pStyle w:val="ListParagraph"/>
        <w:numPr>
          <w:ilvl w:val="0"/>
          <w:numId w:val="3"/>
        </w:numPr>
        <w:spacing w:after="40" w:before="40"/>
      </w:pPr>
      <w:r>
        <w:rPr>
          <w:rFonts w:ascii="Arial" w:cs="Arial" w:eastAsia="Arial" w:hAnsi="Arial"/>
          <w:color w:val="111111"/>
          <w:sz w:val="22"/>
          <w:szCs w:val="22"/>
        </w:rPr>
        <w:t xml:space="preserve">DCF model with live editable assumptions and instant recalculation</w:t>
      </w:r>
    </w:p>
    <w:p>
      <w:pPr>
        <w:pStyle w:val="ListParagraph"/>
        <w:numPr>
          <w:ilvl w:val="0"/>
          <w:numId w:val="3"/>
        </w:numPr>
        <w:spacing w:after="40" w:before="40"/>
      </w:pPr>
      <w:r>
        <w:rPr>
          <w:rFonts w:ascii="Arial" w:cs="Arial" w:eastAsia="Arial" w:hAnsi="Arial"/>
          <w:color w:val="111111"/>
          <w:sz w:val="22"/>
          <w:szCs w:val="22"/>
        </w:rPr>
        <w:t xml:space="preserve">Sensitivity table (WACC x Growth) with margin of safety visualisation</w:t>
      </w:r>
    </w:p>
    <w:p>
      <w:pPr>
        <w:pStyle w:val="ListParagraph"/>
        <w:numPr>
          <w:ilvl w:val="0"/>
          <w:numId w:val="3"/>
        </w:numPr>
        <w:spacing w:after="40" w:before="40"/>
      </w:pPr>
      <w:r>
        <w:rPr>
          <w:rFonts w:ascii="Arial" w:cs="Arial" w:eastAsia="Arial" w:hAnsi="Arial"/>
          <w:color w:val="111111"/>
          <w:sz w:val="22"/>
          <w:szCs w:val="22"/>
        </w:rPr>
        <w:t xml:space="preserve">Management scorecard with historical pledge, insider activity, and guidance accuracy</w:t>
      </w:r>
    </w:p>
    <w:p>
      <w:pPr>
        <w:pStyle w:val="ListParagraph"/>
        <w:numPr>
          <w:ilvl w:val="0"/>
          <w:numId w:val="3"/>
        </w:numPr>
        <w:spacing w:after="40" w:before="40"/>
      </w:pPr>
      <w:r>
        <w:rPr>
          <w:rFonts w:ascii="Arial" w:cs="Arial" w:eastAsia="Arial" w:hAnsi="Arial"/>
          <w:color w:val="111111"/>
          <w:sz w:val="22"/>
          <w:szCs w:val="22"/>
        </w:rPr>
        <w:t xml:space="preserve">News timeline: All material news for the stock in past 12 months with sentiment tags</w:t>
      </w:r>
    </w:p>
    <w:p>
      <w:pPr>
        <w:pStyle w:val="ListParagraph"/>
        <w:numPr>
          <w:ilvl w:val="0"/>
          <w:numId w:val="3"/>
        </w:numPr>
        <w:spacing w:after="40" w:before="40"/>
      </w:pPr>
      <w:r>
        <w:rPr>
          <w:rFonts w:ascii="Arial" w:cs="Arial" w:eastAsia="Arial" w:hAnsi="Arial"/>
          <w:color w:val="111111"/>
          <w:sz w:val="22"/>
          <w:szCs w:val="22"/>
        </w:rPr>
        <w:t xml:space="preserve">Sector cycle position indicator with global context</w:t>
      </w:r>
    </w:p>
    <w:p>
      <w:pPr>
        <w:pStyle w:val="ListParagraph"/>
        <w:numPr>
          <w:ilvl w:val="0"/>
          <w:numId w:val="3"/>
        </w:numPr>
        <w:spacing w:after="40" w:before="40"/>
      </w:pPr>
      <w:r>
        <w:rPr>
          <w:rFonts w:ascii="Arial" w:cs="Arial" w:eastAsia="Arial" w:hAnsi="Arial"/>
          <w:color w:val="111111"/>
          <w:sz w:val="22"/>
          <w:szCs w:val="22"/>
        </w:rPr>
        <w:t xml:space="preserve">Trade flow exposure map: Export geography and import dependency</w:t>
      </w:r>
    </w:p>
    <w:p>
      <w:pPr>
        <w:pStyle w:val="ListParagraph"/>
        <w:numPr>
          <w:ilvl w:val="0"/>
          <w:numId w:val="3"/>
        </w:numPr>
        <w:spacing w:after="40" w:before="40"/>
      </w:pPr>
      <w:r>
        <w:rPr>
          <w:rFonts w:ascii="Arial" w:cs="Arial" w:eastAsia="Arial" w:hAnsi="Arial"/>
          <w:color w:val="111111"/>
          <w:sz w:val="22"/>
          <w:szCs w:val="22"/>
        </w:rPr>
        <w:t xml:space="preserve">Geopolitical event log: All relevant events with impact assessment</w:t>
      </w:r>
    </w:p>
    <w:p>
      <w:pPr>
        <w:pStyle w:val="ListParagraph"/>
        <w:numPr>
          <w:ilvl w:val="0"/>
          <w:numId w:val="3"/>
        </w:numPr>
        <w:spacing w:after="40" w:before="40"/>
      </w:pPr>
      <w:r>
        <w:rPr>
          <w:rFonts w:ascii="Arial" w:cs="Arial" w:eastAsia="Arial" w:hAnsi="Arial"/>
          <w:color w:val="111111"/>
          <w:sz w:val="22"/>
          <w:szCs w:val="22"/>
        </w:rPr>
        <w:t xml:space="preserve">Risk flag summary: Red, amber, green dashboard for all risk categories</w:t>
      </w:r>
    </w:p>
    <w:p>
      <w:pPr>
        <w:pStyle w:val="ListParagraph"/>
        <w:numPr>
          <w:ilvl w:val="0"/>
          <w:numId w:val="3"/>
        </w:numPr>
        <w:spacing w:after="40" w:before="40"/>
      </w:pPr>
      <w:r>
        <w:rPr>
          <w:rFonts w:ascii="Arial" w:cs="Arial" w:eastAsia="Arial" w:hAnsi="Arial"/>
          <w:color w:val="111111"/>
          <w:sz w:val="22"/>
          <w:szCs w:val="22"/>
        </w:rPr>
        <w:t xml:space="preserve">Export to PDF: Full institutional research report in one click</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5.3 Stock Picker / Screener Functions</w:t>
      </w:r>
    </w:p>
    <w:p>
      <w:pPr>
        <w:pStyle w:val="ListParagraph"/>
        <w:numPr>
          <w:ilvl w:val="0"/>
          <w:numId w:val="3"/>
        </w:numPr>
        <w:spacing w:after="40" w:before="40"/>
      </w:pPr>
      <w:r>
        <w:rPr>
          <w:rFonts w:ascii="Arial" w:cs="Arial" w:eastAsia="Arial" w:hAnsi="Arial"/>
          <w:color w:val="111111"/>
          <w:sz w:val="22"/>
          <w:szCs w:val="22"/>
        </w:rPr>
        <w:t xml:space="preserve">Full filter panel with 25+ filter criteria across all 7 intelligence layers</w:t>
      </w:r>
    </w:p>
    <w:p>
      <w:pPr>
        <w:pStyle w:val="ListParagraph"/>
        <w:numPr>
          <w:ilvl w:val="0"/>
          <w:numId w:val="3"/>
        </w:numPr>
        <w:spacing w:after="40" w:before="40"/>
      </w:pPr>
      <w:r>
        <w:rPr>
          <w:rFonts w:ascii="Arial" w:cs="Arial" w:eastAsia="Arial" w:hAnsi="Arial"/>
          <w:color w:val="111111"/>
          <w:sz w:val="22"/>
          <w:szCs w:val="22"/>
        </w:rPr>
        <w:t xml:space="preserve">Natural language query input with AI interpretation</w:t>
      </w:r>
    </w:p>
    <w:p>
      <w:pPr>
        <w:pStyle w:val="ListParagraph"/>
        <w:numPr>
          <w:ilvl w:val="0"/>
          <w:numId w:val="3"/>
        </w:numPr>
        <w:spacing w:after="40" w:before="40"/>
      </w:pPr>
      <w:r>
        <w:rPr>
          <w:rFonts w:ascii="Arial" w:cs="Arial" w:eastAsia="Arial" w:hAnsi="Arial"/>
          <w:color w:val="111111"/>
          <w:sz w:val="22"/>
          <w:szCs w:val="22"/>
        </w:rPr>
        <w:t xml:space="preserve">Saved Screens: Save and name custom filter combinations for reuse</w:t>
      </w:r>
    </w:p>
    <w:p>
      <w:pPr>
        <w:pStyle w:val="ListParagraph"/>
        <w:numPr>
          <w:ilvl w:val="0"/>
          <w:numId w:val="3"/>
        </w:numPr>
        <w:spacing w:after="40" w:before="40"/>
      </w:pPr>
      <w:r>
        <w:rPr>
          <w:rFonts w:ascii="Arial" w:cs="Arial" w:eastAsia="Arial" w:hAnsi="Arial"/>
          <w:color w:val="111111"/>
          <w:sz w:val="22"/>
          <w:szCs w:val="22"/>
        </w:rPr>
        <w:t xml:space="preserve">Scheduled Screens: Run a screen every morning and email results to user</w:t>
      </w:r>
    </w:p>
    <w:p>
      <w:pPr>
        <w:pStyle w:val="ListParagraph"/>
        <w:numPr>
          <w:ilvl w:val="0"/>
          <w:numId w:val="3"/>
        </w:numPr>
        <w:spacing w:after="40" w:before="40"/>
      </w:pPr>
      <w:r>
        <w:rPr>
          <w:rFonts w:ascii="Arial" w:cs="Arial" w:eastAsia="Arial" w:hAnsi="Arial"/>
          <w:color w:val="111111"/>
          <w:sz w:val="22"/>
          <w:szCs w:val="22"/>
        </w:rPr>
        <w:t xml:space="preserve">Alpha Score weight customiser: Adjust layer weights by investment philosophy</w:t>
      </w:r>
    </w:p>
    <w:p>
      <w:pPr>
        <w:pStyle w:val="ListParagraph"/>
        <w:numPr>
          <w:ilvl w:val="0"/>
          <w:numId w:val="3"/>
        </w:numPr>
        <w:spacing w:after="40" w:before="40"/>
      </w:pPr>
      <w:r>
        <w:rPr>
          <w:rFonts w:ascii="Arial" w:cs="Arial" w:eastAsia="Arial" w:hAnsi="Arial"/>
          <w:color w:val="111111"/>
          <w:sz w:val="22"/>
          <w:szCs w:val="22"/>
        </w:rPr>
        <w:t xml:space="preserve">Results export: Download full screener output as Excel</w:t>
      </w:r>
    </w:p>
    <w:p>
      <w:pPr>
        <w:pStyle w:val="ListParagraph"/>
        <w:numPr>
          <w:ilvl w:val="0"/>
          <w:numId w:val="3"/>
        </w:numPr>
        <w:spacing w:after="40" w:before="40"/>
      </w:pPr>
      <w:r>
        <w:rPr>
          <w:rFonts w:ascii="Arial" w:cs="Arial" w:eastAsia="Arial" w:hAnsi="Arial"/>
          <w:color w:val="111111"/>
          <w:sz w:val="22"/>
          <w:szCs w:val="22"/>
        </w:rPr>
        <w:t xml:space="preserve">One-click add to watchlist from any screener result</w:t>
      </w:r>
    </w:p>
    <w:p>
      <w:pPr>
        <w:pStyle w:val="ListParagraph"/>
        <w:numPr>
          <w:ilvl w:val="0"/>
          <w:numId w:val="3"/>
        </w:numPr>
        <w:spacing w:after="40" w:before="40"/>
      </w:pPr>
      <w:r>
        <w:rPr>
          <w:rFonts w:ascii="Arial" w:cs="Arial" w:eastAsia="Arial" w:hAnsi="Arial"/>
          <w:color w:val="111111"/>
          <w:sz w:val="22"/>
          <w:szCs w:val="22"/>
        </w:rPr>
        <w:t xml:space="preserve">Comparison mode: Select up to 4 stocks from results and compare side-by-side</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5.4 Portfolio Manager Functions</w:t>
      </w:r>
    </w:p>
    <w:p>
      <w:pPr>
        <w:pStyle w:val="ListParagraph"/>
        <w:numPr>
          <w:ilvl w:val="0"/>
          <w:numId w:val="3"/>
        </w:numPr>
        <w:spacing w:after="40" w:before="40"/>
      </w:pPr>
      <w:r>
        <w:rPr>
          <w:rFonts w:ascii="Arial" w:cs="Arial" w:eastAsia="Arial" w:hAnsi="Arial"/>
          <w:color w:val="111111"/>
          <w:sz w:val="22"/>
          <w:szCs w:val="22"/>
        </w:rPr>
        <w:t xml:space="preserve">Create virtual portfolios (separate from brokerage — no direct trade execution)</w:t>
      </w:r>
    </w:p>
    <w:p>
      <w:pPr>
        <w:pStyle w:val="ListParagraph"/>
        <w:numPr>
          <w:ilvl w:val="0"/>
          <w:numId w:val="3"/>
        </w:numPr>
        <w:spacing w:after="40" w:before="40"/>
      </w:pPr>
      <w:r>
        <w:rPr>
          <w:rFonts w:ascii="Arial" w:cs="Arial" w:eastAsia="Arial" w:hAnsi="Arial"/>
          <w:color w:val="111111"/>
          <w:sz w:val="22"/>
          <w:szCs w:val="22"/>
        </w:rPr>
        <w:t xml:space="preserve">Track cost price, current price, P&amp;L per holding</w:t>
      </w:r>
    </w:p>
    <w:p>
      <w:pPr>
        <w:pStyle w:val="ListParagraph"/>
        <w:numPr>
          <w:ilvl w:val="0"/>
          <w:numId w:val="3"/>
        </w:numPr>
        <w:spacing w:after="40" w:before="40"/>
      </w:pPr>
      <w:r>
        <w:rPr>
          <w:rFonts w:ascii="Arial" w:cs="Arial" w:eastAsia="Arial" w:hAnsi="Arial"/>
          <w:color w:val="111111"/>
          <w:sz w:val="22"/>
          <w:szCs w:val="22"/>
        </w:rPr>
        <w:t xml:space="preserve">Portfolio-level risk analytics: Concentration by sector, market cap, and geopolitical exposure</w:t>
      </w:r>
    </w:p>
    <w:p>
      <w:pPr>
        <w:pStyle w:val="ListParagraph"/>
        <w:numPr>
          <w:ilvl w:val="0"/>
          <w:numId w:val="3"/>
        </w:numPr>
        <w:spacing w:after="40" w:before="40"/>
      </w:pPr>
      <w:r>
        <w:rPr>
          <w:rFonts w:ascii="Arial" w:cs="Arial" w:eastAsia="Arial" w:hAnsi="Arial"/>
          <w:color w:val="111111"/>
          <w:sz w:val="22"/>
          <w:szCs w:val="22"/>
        </w:rPr>
        <w:t xml:space="preserve">Correlation matrix: Identify stocks with high return correlation to manage diversification</w:t>
      </w:r>
    </w:p>
    <w:p>
      <w:pPr>
        <w:pStyle w:val="ListParagraph"/>
        <w:numPr>
          <w:ilvl w:val="0"/>
          <w:numId w:val="3"/>
        </w:numPr>
        <w:spacing w:after="40" w:before="40"/>
      </w:pPr>
      <w:r>
        <w:rPr>
          <w:rFonts w:ascii="Arial" w:cs="Arial" w:eastAsia="Arial" w:hAnsi="Arial"/>
          <w:color w:val="111111"/>
          <w:sz w:val="22"/>
          <w:szCs w:val="22"/>
        </w:rPr>
        <w:t xml:space="preserve">Portfolio Alpha Score: Aggregate Alpha Score weighted by portfolio allocation</w:t>
      </w:r>
    </w:p>
    <w:p>
      <w:pPr>
        <w:pStyle w:val="ListParagraph"/>
        <w:numPr>
          <w:ilvl w:val="0"/>
          <w:numId w:val="3"/>
        </w:numPr>
        <w:spacing w:after="40" w:before="40"/>
      </w:pPr>
      <w:r>
        <w:rPr>
          <w:rFonts w:ascii="Arial" w:cs="Arial" w:eastAsia="Arial" w:hAnsi="Arial"/>
          <w:color w:val="111111"/>
          <w:sz w:val="22"/>
          <w:szCs w:val="22"/>
        </w:rPr>
        <w:t xml:space="preserve">What-if simulator: Add a stock and see how it changes portfolio risk/return profile</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5.5 Alerts &amp; Monitoring Functions</w:t>
      </w:r>
    </w:p>
    <w:p>
      <w:pPr>
        <w:pStyle w:val="ListParagraph"/>
        <w:numPr>
          <w:ilvl w:val="0"/>
          <w:numId w:val="3"/>
        </w:numPr>
        <w:spacing w:after="40" w:before="40"/>
      </w:pPr>
      <w:r>
        <w:rPr>
          <w:rFonts w:ascii="Arial" w:cs="Arial" w:eastAsia="Arial" w:hAnsi="Arial"/>
          <w:color w:val="111111"/>
          <w:sz w:val="22"/>
          <w:szCs w:val="22"/>
        </w:rPr>
        <w:t xml:space="preserve">Price alerts: Upper and lower price boundary notifications</w:t>
      </w:r>
    </w:p>
    <w:p>
      <w:pPr>
        <w:pStyle w:val="ListParagraph"/>
        <w:numPr>
          <w:ilvl w:val="0"/>
          <w:numId w:val="3"/>
        </w:numPr>
        <w:spacing w:after="40" w:before="40"/>
      </w:pPr>
      <w:r>
        <w:rPr>
          <w:rFonts w:ascii="Arial" w:cs="Arial" w:eastAsia="Arial" w:hAnsi="Arial"/>
          <w:color w:val="111111"/>
          <w:sz w:val="22"/>
          <w:szCs w:val="22"/>
        </w:rPr>
        <w:t xml:space="preserve">Alpha Score alerts: Notify when a stock's score crosses a user-defined threshold</w:t>
      </w:r>
    </w:p>
    <w:p>
      <w:pPr>
        <w:pStyle w:val="ListParagraph"/>
        <w:numPr>
          <w:ilvl w:val="0"/>
          <w:numId w:val="3"/>
        </w:numPr>
        <w:spacing w:after="40" w:before="40"/>
      </w:pPr>
      <w:r>
        <w:rPr>
          <w:rFonts w:ascii="Arial" w:cs="Arial" w:eastAsia="Arial" w:hAnsi="Arial"/>
          <w:color w:val="111111"/>
          <w:sz w:val="22"/>
          <w:szCs w:val="22"/>
        </w:rPr>
        <w:t xml:space="preserve">Earnings alert: Notify 3 days before and immediately after earnings announcement</w:t>
      </w:r>
    </w:p>
    <w:p>
      <w:pPr>
        <w:pStyle w:val="ListParagraph"/>
        <w:numPr>
          <w:ilvl w:val="0"/>
          <w:numId w:val="3"/>
        </w:numPr>
        <w:spacing w:after="40" w:before="40"/>
      </w:pPr>
      <w:r>
        <w:rPr>
          <w:rFonts w:ascii="Arial" w:cs="Arial" w:eastAsia="Arial" w:hAnsi="Arial"/>
          <w:color w:val="111111"/>
          <w:sz w:val="22"/>
          <w:szCs w:val="22"/>
        </w:rPr>
        <w:t xml:space="preserve">News alert: Notify on any High Impact news event for watchlist stocks</w:t>
      </w:r>
    </w:p>
    <w:p>
      <w:pPr>
        <w:pStyle w:val="ListParagraph"/>
        <w:numPr>
          <w:ilvl w:val="0"/>
          <w:numId w:val="3"/>
        </w:numPr>
        <w:spacing w:after="40" w:before="40"/>
      </w:pPr>
      <w:r>
        <w:rPr>
          <w:rFonts w:ascii="Arial" w:cs="Arial" w:eastAsia="Arial" w:hAnsi="Arial"/>
          <w:color w:val="111111"/>
          <w:sz w:val="22"/>
          <w:szCs w:val="22"/>
        </w:rPr>
        <w:t xml:space="preserve">Pledge alert: Notify when promoter pledge exceeds a set threshold</w:t>
      </w:r>
    </w:p>
    <w:p>
      <w:pPr>
        <w:pStyle w:val="ListParagraph"/>
        <w:numPr>
          <w:ilvl w:val="0"/>
          <w:numId w:val="3"/>
        </w:numPr>
        <w:spacing w:after="40" w:before="40"/>
      </w:pPr>
      <w:r>
        <w:rPr>
          <w:rFonts w:ascii="Arial" w:cs="Arial" w:eastAsia="Arial" w:hAnsi="Arial"/>
          <w:color w:val="111111"/>
          <w:sz w:val="22"/>
          <w:szCs w:val="22"/>
        </w:rPr>
        <w:t xml:space="preserve">DCF alert: Notify when current price reaches DCF intrinsic value (take profit signal)</w:t>
      </w:r>
    </w:p>
    <w:p>
      <w:pPr>
        <w:pStyle w:val="ListParagraph"/>
        <w:numPr>
          <w:ilvl w:val="0"/>
          <w:numId w:val="3"/>
        </w:numPr>
        <w:spacing w:after="40" w:before="40"/>
      </w:pPr>
      <w:r>
        <w:rPr>
          <w:rFonts w:ascii="Arial" w:cs="Arial" w:eastAsia="Arial" w:hAnsi="Arial"/>
          <w:color w:val="111111"/>
          <w:sz w:val="22"/>
          <w:szCs w:val="22"/>
        </w:rPr>
        <w:t xml:space="preserve">Sector cycle change alert: Notify when global sector cycle stage shifts</w:t>
      </w:r>
    </w:p>
    <w:p>
      <w:pPr>
        <w:pStyle w:val="ListParagraph"/>
        <w:numPr>
          <w:ilvl w:val="0"/>
          <w:numId w:val="3"/>
        </w:numPr>
        <w:spacing w:after="40" w:before="40"/>
      </w:pPr>
      <w:r>
        <w:rPr>
          <w:rFonts w:ascii="Arial" w:cs="Arial" w:eastAsia="Arial" w:hAnsi="Arial"/>
          <w:color w:val="111111"/>
          <w:sz w:val="22"/>
          <w:szCs w:val="22"/>
        </w:rPr>
        <w:t xml:space="preserve">F&amp;O expiry alert: Positions and open interest analysis before monthly expiry</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5.6 Research Report Generation</w:t>
      </w:r>
    </w:p>
    <w:p>
      <w:pPr>
        <w:pStyle w:val="ListParagraph"/>
        <w:numPr>
          <w:ilvl w:val="0"/>
          <w:numId w:val="3"/>
        </w:numPr>
        <w:spacing w:after="40" w:before="40"/>
      </w:pPr>
      <w:r>
        <w:rPr>
          <w:rFonts w:ascii="Arial" w:cs="Arial" w:eastAsia="Arial" w:hAnsi="Arial"/>
          <w:color w:val="111111"/>
          <w:sz w:val="22"/>
          <w:szCs w:val="22"/>
        </w:rPr>
        <w:t xml:space="preserve">Full research note: 5-8 page institutional quality report with all 7 layers</w:t>
      </w:r>
    </w:p>
    <w:p>
      <w:pPr>
        <w:pStyle w:val="ListParagraph"/>
        <w:numPr>
          <w:ilvl w:val="0"/>
          <w:numId w:val="3"/>
        </w:numPr>
        <w:spacing w:after="40" w:before="40"/>
      </w:pPr>
      <w:r>
        <w:rPr>
          <w:rFonts w:ascii="Arial" w:cs="Arial" w:eastAsia="Arial" w:hAnsi="Arial"/>
          <w:color w:val="111111"/>
          <w:sz w:val="22"/>
          <w:szCs w:val="22"/>
        </w:rPr>
        <w:t xml:space="preserve">One-page snapshot: Executive summary with key metrics and investment thesis</w:t>
      </w:r>
    </w:p>
    <w:p>
      <w:pPr>
        <w:pStyle w:val="ListParagraph"/>
        <w:numPr>
          <w:ilvl w:val="0"/>
          <w:numId w:val="3"/>
        </w:numPr>
        <w:spacing w:after="40" w:before="40"/>
      </w:pPr>
      <w:r>
        <w:rPr>
          <w:rFonts w:ascii="Arial" w:cs="Arial" w:eastAsia="Arial" w:hAnsi="Arial"/>
          <w:color w:val="111111"/>
          <w:sz w:val="22"/>
          <w:szCs w:val="22"/>
        </w:rPr>
        <w:t xml:space="preserve">Peer comparison note: Sector analysis comparing up to 5 companies</w:t>
      </w:r>
    </w:p>
    <w:p>
      <w:pPr>
        <w:pStyle w:val="ListParagraph"/>
        <w:numPr>
          <w:ilvl w:val="0"/>
          <w:numId w:val="3"/>
        </w:numPr>
        <w:spacing w:after="40" w:before="40"/>
      </w:pPr>
      <w:r>
        <w:rPr>
          <w:rFonts w:ascii="Arial" w:cs="Arial" w:eastAsia="Arial" w:hAnsi="Arial"/>
          <w:color w:val="111111"/>
          <w:sz w:val="22"/>
          <w:szCs w:val="22"/>
        </w:rPr>
        <w:t xml:space="preserve">Sector outlook report: Macro + cycle + trade flow + geopolitical view on any sector</w:t>
      </w:r>
    </w:p>
    <w:p>
      <w:pPr>
        <w:pStyle w:val="ListParagraph"/>
        <w:numPr>
          <w:ilvl w:val="0"/>
          <w:numId w:val="3"/>
        </w:numPr>
        <w:spacing w:after="40" w:before="40"/>
      </w:pPr>
      <w:r>
        <w:rPr>
          <w:rFonts w:ascii="Arial" w:cs="Arial" w:eastAsia="Arial" w:hAnsi="Arial"/>
          <w:color w:val="111111"/>
          <w:sz w:val="22"/>
          <w:szCs w:val="22"/>
        </w:rPr>
        <w:t xml:space="preserve">Portfolio review report: Monthly summary of portfolio holdings with updated thesis status</w:t>
      </w:r>
    </w:p>
    <w:p>
      <w:pPr>
        <w:pStyle w:val="ListParagraph"/>
        <w:numPr>
          <w:ilvl w:val="0"/>
          <w:numId w:val="3"/>
        </w:numPr>
        <w:spacing w:after="40" w:before="40"/>
      </w:pPr>
      <w:r>
        <w:rPr>
          <w:rFonts w:ascii="Arial" w:cs="Arial" w:eastAsia="Arial" w:hAnsi="Arial"/>
          <w:color w:val="111111"/>
          <w:sz w:val="22"/>
          <w:szCs w:val="22"/>
        </w:rPr>
        <w:t xml:space="preserve">All reports exportable as PDF, Word (.docx), or shareable link</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5" w:val="clear"/>
            <w:tcMar>
              <w:top w:type="dxa" w:w="200"/>
              <w:left w:type="dxa" w:w="240"/>
              <w:bottom w:type="dxa" w:w="200"/>
              <w:right w:type="dxa" w:w="240"/>
            </w:tcMar>
          </w:tcPr>
          <w:p>
            <w:pPr>
              <w:spacing w:after="80" w:before="0"/>
            </w:pPr>
            <w:r>
              <w:rPr>
                <w:rFonts w:ascii="Arial" w:cs="Arial" w:eastAsia="Arial" w:hAnsi="Arial"/>
                <w:b/>
                <w:bCs/>
                <w:color w:val="FFFFFF"/>
                <w:sz w:val="32"/>
                <w:szCs w:val="32"/>
              </w:rPr>
              <w:t xml:space="preserve">06  DATA ARCHITECTURE</w:t>
            </w:r>
          </w:p>
          <w:p>
            <w:pPr>
              <w:spacing w:after="0" w:before="0"/>
            </w:pPr>
            <w:r>
              <w:rPr>
                <w:rFonts w:ascii="Arial" w:cs="Arial" w:eastAsia="Arial" w:hAnsi="Arial"/>
                <w:color w:val="AACCDD"/>
                <w:sz w:val="21"/>
                <w:szCs w:val="21"/>
              </w:rPr>
              <w:t xml:space="preserve">Every data source, API, and pipeline the platform requires</w:t>
            </w:r>
          </w:p>
        </w:tc>
      </w:tr>
    </w:tbl>
    <w:p>
      <w:pPr>
        <w:spacing w:after="0" w:before="200"/>
      </w:pPr>
      <w:r>
        <w:t xml:space="preserve"/>
      </w:r>
    </w:p>
    <w:p>
      <w:pPr>
        <w:pStyle w:val="Heading1"/>
        <w:pBdr>
          <w:bottom w:val="single" w:color="007A6E" w:sz="6" w:space="4"/>
        </w:pBdr>
        <w:spacing w:after="160" w:before="320"/>
      </w:pPr>
      <w:r>
        <w:rPr>
          <w:rFonts w:ascii="Arial" w:cs="Arial" w:eastAsia="Arial" w:hAnsi="Arial"/>
          <w:b/>
          <w:bCs/>
          <w:color w:val="0D2B45"/>
          <w:sz w:val="36"/>
          <w:szCs w:val="36"/>
        </w:rPr>
        <w:t xml:space="preserve">6. Data Architecture &amp; Sources</w:t>
      </w:r>
    </w:p>
    <w:p>
      <w:pPr>
        <w:pStyle w:val="Heading2"/>
        <w:spacing w:after="120" w:before="240"/>
      </w:pPr>
      <w:r>
        <w:rPr>
          <w:rFonts w:ascii="Arial" w:cs="Arial" w:eastAsia="Arial" w:hAnsi="Arial"/>
          <w:b/>
          <w:bCs/>
          <w:color w:val="007A6E"/>
          <w:sz w:val="28"/>
          <w:szCs w:val="28"/>
        </w:rPr>
        <w:t xml:space="preserve">6.1 Market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w:t>
            </w:r>
          </w:p>
        </w:tc>
        <w:tc>
          <w:tcPr>
            <w:tcW w:type="dxa" w:w="28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4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Update Frequency</w:t>
            </w:r>
          </w:p>
        </w:tc>
        <w:tc>
          <w:tcPr>
            <w:tcW w:type="dxa" w:w="176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Tier</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Live NSE/BSE prices</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NSE Direct API or Refinitiv</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Real-time (seconds)</w:t>
            </w:r>
          </w:p>
        </w:tc>
        <w:tc>
          <w:tcPr>
            <w:tcW w:type="dxa" w:w="1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High</w:t>
            </w:r>
          </w:p>
        </w:tc>
      </w:tr>
      <w:tr>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Historical OHLCV</w:t>
            </w:r>
          </w:p>
        </w:tc>
        <w:tc>
          <w:tcPr>
            <w:tcW w:type="dxa" w:w="28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NSE Bhavcopy + EOD data vendor</w:t>
            </w:r>
          </w:p>
        </w:tc>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End of Day</w:t>
            </w:r>
          </w:p>
        </w:tc>
        <w:tc>
          <w:tcPr>
            <w:tcW w:type="dxa" w:w="17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Low</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F&amp;O data</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NSE F&amp;O segment feed</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Real-time</w:t>
            </w:r>
          </w:p>
        </w:tc>
        <w:tc>
          <w:tcPr>
            <w:tcW w:type="dxa" w:w="1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High</w:t>
            </w:r>
          </w:p>
        </w:tc>
      </w:tr>
      <w:tr>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Corporate filings</w:t>
            </w:r>
          </w:p>
        </w:tc>
        <w:tc>
          <w:tcPr>
            <w:tcW w:type="dxa" w:w="28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BSE XBRL, NSE announcements</w:t>
            </w:r>
          </w:p>
        </w:tc>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On filing</w:t>
            </w:r>
          </w:p>
        </w:tc>
        <w:tc>
          <w:tcPr>
            <w:tcW w:type="dxa" w:w="17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Free</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Shareholding pattern</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BSE/NSE quarterly SHP filings</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Quarterly</w:t>
            </w:r>
          </w:p>
        </w:tc>
        <w:tc>
          <w:tcPr>
            <w:tcW w:type="dxa" w:w="1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Free</w:t>
            </w:r>
          </w:p>
        </w:tc>
      </w:tr>
      <w:tr>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FII/DII daily data</w:t>
            </w:r>
          </w:p>
        </w:tc>
        <w:tc>
          <w:tcPr>
            <w:tcW w:type="dxa" w:w="28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SEBI / NSE published data</w:t>
            </w:r>
          </w:p>
        </w:tc>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End of Day</w:t>
            </w:r>
          </w:p>
        </w:tc>
        <w:tc>
          <w:tcPr>
            <w:tcW w:type="dxa" w:w="17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Free</w:t>
            </w:r>
          </w:p>
        </w:tc>
      </w:tr>
    </w:tbl>
    <w:p>
      <w:pPr>
        <w:spacing w:after="0" w:before="120"/>
      </w:pPr>
      <w:r>
        <w:t xml:space="preserve"/>
      </w:r>
    </w:p>
    <w:p>
      <w:pPr>
        <w:pStyle w:val="Heading2"/>
        <w:spacing w:after="120" w:before="240"/>
      </w:pPr>
      <w:r>
        <w:rPr>
          <w:rFonts w:ascii="Arial" w:cs="Arial" w:eastAsia="Arial" w:hAnsi="Arial"/>
          <w:b/>
          <w:bCs/>
          <w:color w:val="007A6E"/>
          <w:sz w:val="28"/>
          <w:szCs w:val="28"/>
        </w:rPr>
        <w:t xml:space="preserve">6.2 Fundamental Financial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w:t>
            </w:r>
          </w:p>
        </w:tc>
        <w:tc>
          <w:tcPr>
            <w:tcW w:type="dxa" w:w="28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4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Update Frequency</w:t>
            </w:r>
          </w:p>
        </w:tc>
        <w:tc>
          <w:tcPr>
            <w:tcW w:type="dxa" w:w="176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Tier</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P&amp;L, Balance Sheet, CF</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Ace Equity / Capitaline / Screener.in API</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Quarterly + Annual</w:t>
            </w:r>
          </w:p>
        </w:tc>
        <w:tc>
          <w:tcPr>
            <w:tcW w:type="dxa" w:w="1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Medium</w:t>
            </w:r>
          </w:p>
        </w:tc>
      </w:tr>
      <w:tr>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Analyst consensus estimates</w:t>
            </w:r>
          </w:p>
        </w:tc>
        <w:tc>
          <w:tcPr>
            <w:tcW w:type="dxa" w:w="28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Bloomberg consensus or Refinitiv IBES</w:t>
            </w:r>
          </w:p>
        </w:tc>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Weekly</w:t>
            </w:r>
          </w:p>
        </w:tc>
        <w:tc>
          <w:tcPr>
            <w:tcW w:type="dxa" w:w="17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High</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Credit ratings</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CRISIL, ICRA, CARE website scraping</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On announcement</w:t>
            </w:r>
          </w:p>
        </w:tc>
        <w:tc>
          <w:tcPr>
            <w:tcW w:type="dxa" w:w="1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Low</w:t>
            </w:r>
          </w:p>
        </w:tc>
      </w:tr>
      <w:tr>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Earnings call transcripts</w:t>
            </w:r>
          </w:p>
        </w:tc>
        <w:tc>
          <w:tcPr>
            <w:tcW w:type="dxa" w:w="28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BSE/NSE + Seeking Alpha scraping</w:t>
            </w:r>
          </w:p>
        </w:tc>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Post-earnings</w:t>
            </w:r>
          </w:p>
        </w:tc>
        <w:tc>
          <w:tcPr>
            <w:tcW w:type="dxa" w:w="17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Low</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AGM minutes and documents</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MCA21 + company website</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Annual</w:t>
            </w:r>
          </w:p>
        </w:tc>
        <w:tc>
          <w:tcPr>
            <w:tcW w:type="dxa" w:w="1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Free</w:t>
            </w:r>
          </w:p>
        </w:tc>
      </w:tr>
    </w:tbl>
    <w:p>
      <w:pPr>
        <w:spacing w:after="0" w:before="120"/>
      </w:pPr>
      <w:r>
        <w:t xml:space="preserve"/>
      </w:r>
    </w:p>
    <w:p>
      <w:pPr>
        <w:pStyle w:val="Heading2"/>
        <w:spacing w:after="120" w:before="240"/>
      </w:pPr>
      <w:r>
        <w:rPr>
          <w:rFonts w:ascii="Arial" w:cs="Arial" w:eastAsia="Arial" w:hAnsi="Arial"/>
          <w:b/>
          <w:bCs/>
          <w:color w:val="007A6E"/>
          <w:sz w:val="28"/>
          <w:szCs w:val="28"/>
        </w:rPr>
        <w:t xml:space="preserve">6.3 Alternative &amp; Intelligence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w:t>
            </w:r>
          </w:p>
        </w:tc>
        <w:tc>
          <w:tcPr>
            <w:tcW w:type="dxa" w:w="28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4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Update Frequency</w:t>
            </w:r>
          </w:p>
        </w:tc>
        <w:tc>
          <w:tcPr>
            <w:tcW w:type="dxa" w:w="176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Tier</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Export-import trade flows</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DGFT monthly data + Panjiva API</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Monthly / Shipment</w:t>
            </w:r>
          </w:p>
        </w:tc>
        <w:tc>
          <w:tcPr>
            <w:tcW w:type="dxa" w:w="1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Medium-High</w:t>
            </w:r>
          </w:p>
        </w:tc>
      </w:tr>
      <w:tr>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Global commodity prices</w:t>
            </w:r>
          </w:p>
        </w:tc>
        <w:tc>
          <w:tcPr>
            <w:tcW w:type="dxa" w:w="28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LME, CME, MCX live feeds</w:t>
            </w:r>
          </w:p>
        </w:tc>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Real-time</w:t>
            </w:r>
          </w:p>
        </w:tc>
        <w:tc>
          <w:tcPr>
            <w:tcW w:type="dxa" w:w="17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Medium</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India macro indicators</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CMIE, RBI data warehouse, MOSPI</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Monthly/Quarterly</w:t>
            </w:r>
          </w:p>
        </w:tc>
        <w:tc>
          <w:tcPr>
            <w:tcW w:type="dxa" w:w="1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Low-Medium</w:t>
            </w:r>
          </w:p>
        </w:tc>
      </w:tr>
      <w:tr>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Global macro indicators</w:t>
            </w:r>
          </w:p>
        </w:tc>
        <w:tc>
          <w:tcPr>
            <w:tcW w:type="dxa" w:w="28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World Bank, IMF, OECD APIs</w:t>
            </w:r>
          </w:p>
        </w:tc>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Monthly</w:t>
            </w:r>
          </w:p>
        </w:tc>
        <w:tc>
          <w:tcPr>
            <w:tcW w:type="dxa" w:w="17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Free</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News and media</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NewsAPI + custom scrapers</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Real-time</w:t>
            </w:r>
          </w:p>
        </w:tc>
        <w:tc>
          <w:tcPr>
            <w:tcW w:type="dxa" w:w="1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Low</w:t>
            </w:r>
          </w:p>
        </w:tc>
      </w:tr>
      <w:tr>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Vessel/shipping tracking</w:t>
            </w:r>
          </w:p>
        </w:tc>
        <w:tc>
          <w:tcPr>
            <w:tcW w:type="dxa" w:w="28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MarineTraffic AIS data</w:t>
            </w:r>
          </w:p>
        </w:tc>
        <w:tc>
          <w:tcPr>
            <w:tcW w:type="dxa" w:w="24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Near real-time</w:t>
            </w:r>
          </w:p>
        </w:tc>
        <w:tc>
          <w:tcPr>
            <w:tcW w:type="dxa" w:w="17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Medium</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PMI data (India + Global)</w:t>
            </w:r>
          </w:p>
        </w:tc>
        <w:tc>
          <w:tcPr>
            <w:tcW w:type="dxa" w:w="2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S&amp;P Global PMI releases</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Monthly</w:t>
            </w:r>
          </w:p>
        </w:tc>
        <w:tc>
          <w:tcPr>
            <w:tcW w:type="dxa" w:w="1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Medium</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5" w:val="clear"/>
            <w:tcMar>
              <w:top w:type="dxa" w:w="200"/>
              <w:left w:type="dxa" w:w="240"/>
              <w:bottom w:type="dxa" w:w="200"/>
              <w:right w:type="dxa" w:w="240"/>
            </w:tcMar>
          </w:tcPr>
          <w:p>
            <w:pPr>
              <w:spacing w:after="80" w:before="0"/>
            </w:pPr>
            <w:r>
              <w:rPr>
                <w:rFonts w:ascii="Arial" w:cs="Arial" w:eastAsia="Arial" w:hAnsi="Arial"/>
                <w:b/>
                <w:bCs/>
                <w:color w:val="FFFFFF"/>
                <w:sz w:val="32"/>
                <w:szCs w:val="32"/>
              </w:rPr>
              <w:t xml:space="preserve">07  TECHNOLOGY STACK</w:t>
            </w:r>
          </w:p>
          <w:p>
            <w:pPr>
              <w:spacing w:after="0" w:before="0"/>
            </w:pPr>
            <w:r>
              <w:rPr>
                <w:rFonts w:ascii="Arial" w:cs="Arial" w:eastAsia="Arial" w:hAnsi="Arial"/>
                <w:color w:val="AACCDD"/>
                <w:sz w:val="21"/>
                <w:szCs w:val="21"/>
              </w:rPr>
              <w:t xml:space="preserve">Recommended architecture to build the platform</w:t>
            </w:r>
          </w:p>
        </w:tc>
      </w:tr>
    </w:tbl>
    <w:p>
      <w:pPr>
        <w:spacing w:after="0" w:before="200"/>
      </w:pPr>
      <w:r>
        <w:t xml:space="preserve"/>
      </w:r>
    </w:p>
    <w:p>
      <w:pPr>
        <w:pStyle w:val="Heading1"/>
        <w:pBdr>
          <w:bottom w:val="single" w:color="007A6E" w:sz="6" w:space="4"/>
        </w:pBdr>
        <w:spacing w:after="160" w:before="320"/>
      </w:pPr>
      <w:r>
        <w:rPr>
          <w:rFonts w:ascii="Arial" w:cs="Arial" w:eastAsia="Arial" w:hAnsi="Arial"/>
          <w:b/>
          <w:bCs/>
          <w:color w:val="0D2B45"/>
          <w:sz w:val="36"/>
          <w:szCs w:val="36"/>
        </w:rPr>
        <w:t xml:space="preserve">7. Technology Stack</w:t>
      </w:r>
    </w:p>
    <w:p>
      <w:pPr>
        <w:spacing w:after="60" w:before="60"/>
      </w:pPr>
      <w:r>
        <w:rPr>
          <w:rFonts w:ascii="Arial" w:cs="Arial" w:eastAsia="Arial" w:hAnsi="Arial"/>
          <w:color w:val="111111"/>
          <w:sz w:val="22"/>
          <w:szCs w:val="22"/>
        </w:rPr>
        <w:t xml:space="preserve">The platform requires a modern, scalable, real-time-capable architecture. The following stack is recommended for a team of 2-5 engineers building an MVP.</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7.1 Backend</w:t>
      </w:r>
    </w:p>
    <w:p>
      <w:pPr>
        <w:pStyle w:val="ListParagraph"/>
        <w:numPr>
          <w:ilvl w:val="0"/>
          <w:numId w:val="3"/>
        </w:numPr>
        <w:spacing w:after="40" w:before="40"/>
      </w:pPr>
      <w:r>
        <w:rPr>
          <w:rFonts w:ascii="Arial" w:cs="Arial" w:eastAsia="Arial" w:hAnsi="Arial"/>
          <w:color w:val="111111"/>
          <w:sz w:val="22"/>
          <w:szCs w:val="22"/>
        </w:rPr>
        <w:t xml:space="preserve">Primary language: Python (data processing, ML, NLP pipelines, financial calculations)</w:t>
      </w:r>
    </w:p>
    <w:p>
      <w:pPr>
        <w:pStyle w:val="ListParagraph"/>
        <w:numPr>
          <w:ilvl w:val="0"/>
          <w:numId w:val="3"/>
        </w:numPr>
        <w:spacing w:after="40" w:before="40"/>
      </w:pPr>
      <w:r>
        <w:rPr>
          <w:rFonts w:ascii="Arial" w:cs="Arial" w:eastAsia="Arial" w:hAnsi="Arial"/>
          <w:color w:val="111111"/>
          <w:sz w:val="22"/>
          <w:szCs w:val="22"/>
        </w:rPr>
        <w:t xml:space="preserve">API framework: FastAPI for all REST endpoints (high performance, async-native)</w:t>
      </w:r>
    </w:p>
    <w:p>
      <w:pPr>
        <w:pStyle w:val="ListParagraph"/>
        <w:numPr>
          <w:ilvl w:val="0"/>
          <w:numId w:val="3"/>
        </w:numPr>
        <w:spacing w:after="40" w:before="40"/>
      </w:pPr>
      <w:r>
        <w:rPr>
          <w:rFonts w:ascii="Arial" w:cs="Arial" w:eastAsia="Arial" w:hAnsi="Arial"/>
          <w:color w:val="111111"/>
          <w:sz w:val="22"/>
          <w:szCs w:val="22"/>
        </w:rPr>
        <w:t xml:space="preserve">Task queue: Celery with Redis broker for background data ingestion and processing jobs</w:t>
      </w:r>
    </w:p>
    <w:p>
      <w:pPr>
        <w:pStyle w:val="ListParagraph"/>
        <w:numPr>
          <w:ilvl w:val="0"/>
          <w:numId w:val="3"/>
        </w:numPr>
        <w:spacing w:after="40" w:before="40"/>
      </w:pPr>
      <w:r>
        <w:rPr>
          <w:rFonts w:ascii="Arial" w:cs="Arial" w:eastAsia="Arial" w:hAnsi="Arial"/>
          <w:color w:val="111111"/>
          <w:sz w:val="22"/>
          <w:szCs w:val="22"/>
        </w:rPr>
        <w:t xml:space="preserve">Real-time layer: WebSocket server for live price and alert streaming to frontend</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7.2 Data Storage</w:t>
      </w:r>
    </w:p>
    <w:p>
      <w:pPr>
        <w:pStyle w:val="ListParagraph"/>
        <w:numPr>
          <w:ilvl w:val="0"/>
          <w:numId w:val="3"/>
        </w:numPr>
        <w:spacing w:after="40" w:before="40"/>
      </w:pPr>
      <w:r>
        <w:rPr>
          <w:rFonts w:ascii="Arial" w:cs="Arial" w:eastAsia="Arial" w:hAnsi="Arial"/>
          <w:color w:val="111111"/>
          <w:sz w:val="22"/>
          <w:szCs w:val="22"/>
        </w:rPr>
        <w:t xml:space="preserve">Time-series database: InfluxDB or TimescaleDB (PostgreSQL extension) for all price and indicator data</w:t>
      </w:r>
    </w:p>
    <w:p>
      <w:pPr>
        <w:pStyle w:val="ListParagraph"/>
        <w:numPr>
          <w:ilvl w:val="0"/>
          <w:numId w:val="3"/>
        </w:numPr>
        <w:spacing w:after="40" w:before="40"/>
      </w:pPr>
      <w:r>
        <w:rPr>
          <w:rFonts w:ascii="Arial" w:cs="Arial" w:eastAsia="Arial" w:hAnsi="Arial"/>
          <w:color w:val="111111"/>
          <w:sz w:val="22"/>
          <w:szCs w:val="22"/>
        </w:rPr>
        <w:t xml:space="preserve">Relational database: PostgreSQL for fundamental data, user data, portfolio, and configuration</w:t>
      </w:r>
    </w:p>
    <w:p>
      <w:pPr>
        <w:pStyle w:val="ListParagraph"/>
        <w:numPr>
          <w:ilvl w:val="0"/>
          <w:numId w:val="3"/>
        </w:numPr>
        <w:spacing w:after="40" w:before="40"/>
      </w:pPr>
      <w:r>
        <w:rPr>
          <w:rFonts w:ascii="Arial" w:cs="Arial" w:eastAsia="Arial" w:hAnsi="Arial"/>
          <w:color w:val="111111"/>
          <w:sz w:val="22"/>
          <w:szCs w:val="22"/>
        </w:rPr>
        <w:t xml:space="preserve">Cache layer: Redis for frequently accessed computations (Alpha Scores, screener results)</w:t>
      </w:r>
    </w:p>
    <w:p>
      <w:pPr>
        <w:pStyle w:val="ListParagraph"/>
        <w:numPr>
          <w:ilvl w:val="0"/>
          <w:numId w:val="3"/>
        </w:numPr>
        <w:spacing w:after="40" w:before="40"/>
      </w:pPr>
      <w:r>
        <w:rPr>
          <w:rFonts w:ascii="Arial" w:cs="Arial" w:eastAsia="Arial" w:hAnsi="Arial"/>
          <w:color w:val="111111"/>
          <w:sz w:val="22"/>
          <w:szCs w:val="22"/>
        </w:rPr>
        <w:t xml:space="preserve">Document store: MongoDB for unstructured data (news articles, transcripts, reports)</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7.3 AI / ML Layer</w:t>
      </w:r>
    </w:p>
    <w:p>
      <w:pPr>
        <w:pStyle w:val="ListParagraph"/>
        <w:numPr>
          <w:ilvl w:val="0"/>
          <w:numId w:val="3"/>
        </w:numPr>
        <w:spacing w:after="40" w:before="40"/>
      </w:pPr>
      <w:r>
        <w:rPr>
          <w:rFonts w:ascii="Arial" w:cs="Arial" w:eastAsia="Arial" w:hAnsi="Arial"/>
          <w:color w:val="111111"/>
          <w:sz w:val="22"/>
          <w:szCs w:val="22"/>
        </w:rPr>
        <w:t xml:space="preserve">NLP for news sentiment: Fine-tuned BERT model on financial news dataset (or call OpenAI/Anthropic API)</w:t>
      </w:r>
    </w:p>
    <w:p>
      <w:pPr>
        <w:pStyle w:val="ListParagraph"/>
        <w:numPr>
          <w:ilvl w:val="0"/>
          <w:numId w:val="3"/>
        </w:numPr>
        <w:spacing w:after="40" w:before="40"/>
      </w:pPr>
      <w:r>
        <w:rPr>
          <w:rFonts w:ascii="Arial" w:cs="Arial" w:eastAsia="Arial" w:hAnsi="Arial"/>
          <w:color w:val="111111"/>
          <w:sz w:val="22"/>
          <w:szCs w:val="22"/>
        </w:rPr>
        <w:t xml:space="preserve">NLP for transcripts: LLM API (Anthropic Claude or OpenAI GPT-4) for management scoring and report generation</w:t>
      </w:r>
    </w:p>
    <w:p>
      <w:pPr>
        <w:pStyle w:val="ListParagraph"/>
        <w:numPr>
          <w:ilvl w:val="0"/>
          <w:numId w:val="3"/>
        </w:numPr>
        <w:spacing w:after="40" w:before="40"/>
      </w:pPr>
      <w:r>
        <w:rPr>
          <w:rFonts w:ascii="Arial" w:cs="Arial" w:eastAsia="Arial" w:hAnsi="Arial"/>
          <w:color w:val="111111"/>
          <w:sz w:val="22"/>
          <w:szCs w:val="22"/>
        </w:rPr>
        <w:t xml:space="preserve">Quantitative models: scikit-learn and pandas for multi-factor alpha modelling</w:t>
      </w:r>
    </w:p>
    <w:p>
      <w:pPr>
        <w:pStyle w:val="ListParagraph"/>
        <w:numPr>
          <w:ilvl w:val="0"/>
          <w:numId w:val="3"/>
        </w:numPr>
        <w:spacing w:after="40" w:before="40"/>
      </w:pPr>
      <w:r>
        <w:rPr>
          <w:rFonts w:ascii="Arial" w:cs="Arial" w:eastAsia="Arial" w:hAnsi="Arial"/>
          <w:color w:val="111111"/>
          <w:sz w:val="22"/>
          <w:szCs w:val="22"/>
        </w:rPr>
        <w:t xml:space="preserve">DCF engine: Pure Python financial model with numpy</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7.4 Frontend</w:t>
      </w:r>
    </w:p>
    <w:p>
      <w:pPr>
        <w:pStyle w:val="ListParagraph"/>
        <w:numPr>
          <w:ilvl w:val="0"/>
          <w:numId w:val="3"/>
        </w:numPr>
        <w:spacing w:after="40" w:before="40"/>
      </w:pPr>
      <w:r>
        <w:rPr>
          <w:rFonts w:ascii="Arial" w:cs="Arial" w:eastAsia="Arial" w:hAnsi="Arial"/>
          <w:color w:val="111111"/>
          <w:sz w:val="22"/>
          <w:szCs w:val="22"/>
        </w:rPr>
        <w:t xml:space="preserve">Framework: React.js with TypeScript</w:t>
      </w:r>
    </w:p>
    <w:p>
      <w:pPr>
        <w:pStyle w:val="ListParagraph"/>
        <w:numPr>
          <w:ilvl w:val="0"/>
          <w:numId w:val="3"/>
        </w:numPr>
        <w:spacing w:after="40" w:before="40"/>
      </w:pPr>
      <w:r>
        <w:rPr>
          <w:rFonts w:ascii="Arial" w:cs="Arial" w:eastAsia="Arial" w:hAnsi="Arial"/>
          <w:color w:val="111111"/>
          <w:sz w:val="22"/>
          <w:szCs w:val="22"/>
        </w:rPr>
        <w:t xml:space="preserve">Charting: TradingView Lightweight Charts library for all price and technical charts</w:t>
      </w:r>
    </w:p>
    <w:p>
      <w:pPr>
        <w:pStyle w:val="ListParagraph"/>
        <w:numPr>
          <w:ilvl w:val="0"/>
          <w:numId w:val="3"/>
        </w:numPr>
        <w:spacing w:after="40" w:before="40"/>
      </w:pPr>
      <w:r>
        <w:rPr>
          <w:rFonts w:ascii="Arial" w:cs="Arial" w:eastAsia="Arial" w:hAnsi="Arial"/>
          <w:color w:val="111111"/>
          <w:sz w:val="22"/>
          <w:szCs w:val="22"/>
        </w:rPr>
        <w:t xml:space="preserve">Data visualisation: Recharts for fundamental and portfolio charts</w:t>
      </w:r>
    </w:p>
    <w:p>
      <w:pPr>
        <w:pStyle w:val="ListParagraph"/>
        <w:numPr>
          <w:ilvl w:val="0"/>
          <w:numId w:val="3"/>
        </w:numPr>
        <w:spacing w:after="40" w:before="40"/>
      </w:pPr>
      <w:r>
        <w:rPr>
          <w:rFonts w:ascii="Arial" w:cs="Arial" w:eastAsia="Arial" w:hAnsi="Arial"/>
          <w:color w:val="111111"/>
          <w:sz w:val="22"/>
          <w:szCs w:val="22"/>
        </w:rPr>
        <w:t xml:space="preserve">State management: Redux Toolkit for real-time data state</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7.5 Infrastructure</w:t>
      </w:r>
    </w:p>
    <w:p>
      <w:pPr>
        <w:pStyle w:val="ListParagraph"/>
        <w:numPr>
          <w:ilvl w:val="0"/>
          <w:numId w:val="3"/>
        </w:numPr>
        <w:spacing w:after="40" w:before="40"/>
      </w:pPr>
      <w:r>
        <w:rPr>
          <w:rFonts w:ascii="Arial" w:cs="Arial" w:eastAsia="Arial" w:hAnsi="Arial"/>
          <w:color w:val="111111"/>
          <w:sz w:val="22"/>
          <w:szCs w:val="22"/>
        </w:rPr>
        <w:t xml:space="preserve">Cloud: AWS (India region: ap-south-1 Mumbai) for data residency compliance</w:t>
      </w:r>
    </w:p>
    <w:p>
      <w:pPr>
        <w:pStyle w:val="ListParagraph"/>
        <w:numPr>
          <w:ilvl w:val="0"/>
          <w:numId w:val="3"/>
        </w:numPr>
        <w:spacing w:after="40" w:before="40"/>
      </w:pPr>
      <w:r>
        <w:rPr>
          <w:rFonts w:ascii="Arial" w:cs="Arial" w:eastAsia="Arial" w:hAnsi="Arial"/>
          <w:color w:val="111111"/>
          <w:sz w:val="22"/>
          <w:szCs w:val="22"/>
        </w:rPr>
        <w:t xml:space="preserve">Containerisation: Docker + Kubernetes for scalable microservices</w:t>
      </w:r>
    </w:p>
    <w:p>
      <w:pPr>
        <w:pStyle w:val="ListParagraph"/>
        <w:numPr>
          <w:ilvl w:val="0"/>
          <w:numId w:val="3"/>
        </w:numPr>
        <w:spacing w:after="40" w:before="40"/>
      </w:pPr>
      <w:r>
        <w:rPr>
          <w:rFonts w:ascii="Arial" w:cs="Arial" w:eastAsia="Arial" w:hAnsi="Arial"/>
          <w:color w:val="111111"/>
          <w:sz w:val="22"/>
          <w:szCs w:val="22"/>
        </w:rPr>
        <w:t xml:space="preserve">CDN: CloudFront for frontend asset delivery</w:t>
      </w:r>
    </w:p>
    <w:p>
      <w:pPr>
        <w:pStyle w:val="ListParagraph"/>
        <w:numPr>
          <w:ilvl w:val="0"/>
          <w:numId w:val="3"/>
        </w:numPr>
        <w:spacing w:after="40" w:before="40"/>
      </w:pPr>
      <w:r>
        <w:rPr>
          <w:rFonts w:ascii="Arial" w:cs="Arial" w:eastAsia="Arial" w:hAnsi="Arial"/>
          <w:color w:val="111111"/>
          <w:sz w:val="22"/>
          <w:szCs w:val="22"/>
        </w:rPr>
        <w:t xml:space="preserve">Monitoring: Grafana + Prometheus for system health and latency tracking</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5" w:val="clear"/>
            <w:tcMar>
              <w:top w:type="dxa" w:w="200"/>
              <w:left w:type="dxa" w:w="240"/>
              <w:bottom w:type="dxa" w:w="200"/>
              <w:right w:type="dxa" w:w="240"/>
            </w:tcMar>
          </w:tcPr>
          <w:p>
            <w:pPr>
              <w:spacing w:after="80" w:before="0"/>
            </w:pPr>
            <w:r>
              <w:rPr>
                <w:rFonts w:ascii="Arial" w:cs="Arial" w:eastAsia="Arial" w:hAnsi="Arial"/>
                <w:b/>
                <w:bCs/>
                <w:color w:val="FFFFFF"/>
                <w:sz w:val="32"/>
                <w:szCs w:val="32"/>
              </w:rPr>
              <w:t xml:space="preserve">08  BUILD ROADMAP &amp; BUSINESS MODEL</w:t>
            </w:r>
          </w:p>
          <w:p>
            <w:pPr>
              <w:spacing w:after="0" w:before="0"/>
            </w:pPr>
            <w:r>
              <w:rPr>
                <w:rFonts w:ascii="Arial" w:cs="Arial" w:eastAsia="Arial" w:hAnsi="Arial"/>
                <w:color w:val="AACCDD"/>
                <w:sz w:val="21"/>
                <w:szCs w:val="21"/>
              </w:rPr>
              <w:t xml:space="preserve">Phase-by-phase plan with revenue targets</w:t>
            </w:r>
          </w:p>
        </w:tc>
      </w:tr>
    </w:tbl>
    <w:p>
      <w:pPr>
        <w:spacing w:after="0" w:before="200"/>
      </w:pPr>
      <w:r>
        <w:t xml:space="preserve"/>
      </w:r>
    </w:p>
    <w:p>
      <w:pPr>
        <w:pStyle w:val="Heading1"/>
        <w:pBdr>
          <w:bottom w:val="single" w:color="007A6E" w:sz="6" w:space="4"/>
        </w:pBdr>
        <w:spacing w:after="160" w:before="320"/>
      </w:pPr>
      <w:r>
        <w:rPr>
          <w:rFonts w:ascii="Arial" w:cs="Arial" w:eastAsia="Arial" w:hAnsi="Arial"/>
          <w:b/>
          <w:bCs/>
          <w:color w:val="0D2B45"/>
          <w:sz w:val="36"/>
          <w:szCs w:val="36"/>
        </w:rPr>
        <w:t xml:space="preserve">8. Build Roadmap</w:t>
      </w:r>
    </w:p>
    <w:p>
      <w:pPr>
        <w:pStyle w:val="Heading2"/>
        <w:spacing w:after="120" w:before="240"/>
      </w:pPr>
      <w:r>
        <w:rPr>
          <w:rFonts w:ascii="Arial" w:cs="Arial" w:eastAsia="Arial" w:hAnsi="Arial"/>
          <w:b/>
          <w:bCs/>
          <w:color w:val="007A6E"/>
          <w:sz w:val="28"/>
          <w:szCs w:val="28"/>
        </w:rPr>
        <w:t xml:space="preserve">Phase 1: MVP — Stock Analyser (Months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6E" w:sz="1"/>
              <w:left w:val="single" w:color="007A6E" w:sz="1"/>
              <w:bottom w:val="single" w:color="007A6E" w:sz="1"/>
              <w:right w:val="single" w:color="007A6E" w:sz="1"/>
            </w:tcBorders>
            <w:shd w:fill="E6F4F2" w:val="clear"/>
            <w:tcMar>
              <w:top w:type="dxa" w:w="120"/>
              <w:left w:type="dxa" w:w="160"/>
              <w:bottom w:type="dxa" w:w="120"/>
              <w:right w:type="dxa" w:w="160"/>
            </w:tcMar>
          </w:tcPr>
          <w:p>
            <w:pPr>
              <w:spacing w:after="60" w:before="0"/>
            </w:pPr>
            <w:r>
              <w:rPr>
                <w:rFonts w:ascii="Arial" w:cs="Arial" w:eastAsia="Arial" w:hAnsi="Arial"/>
                <w:b/>
                <w:bCs/>
                <w:color w:val="007A6E"/>
                <w:sz w:val="22"/>
                <w:szCs w:val="22"/>
              </w:rPr>
              <w:t xml:space="preserve">Phase 1 Goal</w:t>
            </w:r>
          </w:p>
          <w:p>
            <w:pPr>
              <w:spacing w:after="0" w:before="0"/>
            </w:pPr>
            <w:r>
              <w:rPr>
                <w:rFonts w:ascii="Arial" w:cs="Arial" w:eastAsia="Arial" w:hAnsi="Arial"/>
                <w:color w:val="111111"/>
                <w:sz w:val="21"/>
                <w:szCs w:val="21"/>
              </w:rPr>
              <w:t xml:space="preserve">Build a working Stock Analyser for NSE/BSE. Layers 1-4 (Fundamentals, DCF, Technicals, News) must be fully functional. Onboard 5 beta PMS clients for feedback and validation.</w:t>
            </w:r>
          </w:p>
        </w:tc>
      </w:tr>
    </w:tbl>
    <w:p>
      <w:pPr>
        <w:spacing w:after="0" w:before="120"/>
      </w:pPr>
      <w:r>
        <w:t xml:space="preserve"/>
      </w:r>
    </w:p>
    <w:p>
      <w:pPr>
        <w:pStyle w:val="Heading3"/>
        <w:spacing w:after="80" w:before="200"/>
      </w:pPr>
      <w:r>
        <w:rPr>
          <w:rFonts w:ascii="Arial" w:cs="Arial" w:eastAsia="Arial" w:hAnsi="Arial"/>
          <w:b/>
          <w:bCs/>
          <w:color w:val="0D2B45"/>
          <w:sz w:val="24"/>
          <w:szCs w:val="24"/>
        </w:rPr>
        <w:t xml:space="preserve">Month 1-2: Data + Backend Foundation</w:t>
      </w:r>
    </w:p>
    <w:p>
      <w:pPr>
        <w:pStyle w:val="ListParagraph"/>
        <w:numPr>
          <w:ilvl w:val="0"/>
          <w:numId w:val="2"/>
        </w:numPr>
        <w:spacing w:after="40" w:before="40"/>
      </w:pPr>
      <w:r>
        <w:rPr>
          <w:rFonts w:ascii="Arial" w:cs="Arial" w:eastAsia="Arial" w:hAnsi="Arial"/>
          <w:color w:val="111111"/>
          <w:sz w:val="22"/>
          <w:szCs w:val="22"/>
        </w:rPr>
        <w:t xml:space="preserve">Set up data pipelines: NSE/BSE price data, BSE corporate filings, historical financials</w:t>
      </w:r>
    </w:p>
    <w:p>
      <w:pPr>
        <w:pStyle w:val="ListParagraph"/>
        <w:numPr>
          <w:ilvl w:val="0"/>
          <w:numId w:val="2"/>
        </w:numPr>
        <w:spacing w:after="40" w:before="40"/>
      </w:pPr>
      <w:r>
        <w:rPr>
          <w:rFonts w:ascii="Arial" w:cs="Arial" w:eastAsia="Arial" w:hAnsi="Arial"/>
          <w:color w:val="111111"/>
          <w:sz w:val="22"/>
          <w:szCs w:val="22"/>
        </w:rPr>
        <w:t xml:space="preserve">Build fundamental data parser: Ingest XBRL filings and populate financial database</w:t>
      </w:r>
    </w:p>
    <w:p>
      <w:pPr>
        <w:pStyle w:val="ListParagraph"/>
        <w:numPr>
          <w:ilvl w:val="0"/>
          <w:numId w:val="2"/>
        </w:numPr>
        <w:spacing w:after="40" w:before="40"/>
      </w:pPr>
      <w:r>
        <w:rPr>
          <w:rFonts w:ascii="Arial" w:cs="Arial" w:eastAsia="Arial" w:hAnsi="Arial"/>
          <w:color w:val="111111"/>
          <w:sz w:val="22"/>
          <w:szCs w:val="22"/>
        </w:rPr>
        <w:t xml:space="preserve">Build DCF engine: Core model with three scenarios and sensitivity table</w:t>
      </w:r>
    </w:p>
    <w:p>
      <w:pPr>
        <w:pStyle w:val="ListParagraph"/>
        <w:numPr>
          <w:ilvl w:val="0"/>
          <w:numId w:val="2"/>
        </w:numPr>
        <w:spacing w:after="40" w:before="40"/>
      </w:pPr>
      <w:r>
        <w:rPr>
          <w:rFonts w:ascii="Arial" w:cs="Arial" w:eastAsia="Arial" w:hAnsi="Arial"/>
          <w:color w:val="111111"/>
          <w:sz w:val="22"/>
          <w:szCs w:val="22"/>
        </w:rPr>
        <w:t xml:space="preserve">Basic news scraper: Economic Times, Moneycontrol, BSE announcements feed</w:t>
      </w:r>
    </w:p>
    <w:p>
      <w:pPr>
        <w:spacing w:after="0" w:before="120"/>
      </w:pPr>
      <w:r>
        <w:t xml:space="preserve"/>
      </w:r>
    </w:p>
    <w:p>
      <w:pPr>
        <w:pStyle w:val="Heading3"/>
        <w:spacing w:after="80" w:before="200"/>
      </w:pPr>
      <w:r>
        <w:rPr>
          <w:rFonts w:ascii="Arial" w:cs="Arial" w:eastAsia="Arial" w:hAnsi="Arial"/>
          <w:b/>
          <w:bCs/>
          <w:color w:val="0D2B45"/>
          <w:sz w:val="24"/>
          <w:szCs w:val="24"/>
        </w:rPr>
        <w:t xml:space="preserve">Month 3-4: Product + Alpha Layer</w:t>
      </w:r>
    </w:p>
    <w:p>
      <w:pPr>
        <w:pStyle w:val="ListParagraph"/>
        <w:numPr>
          <w:ilvl w:val="0"/>
          <w:numId w:val="2"/>
        </w:numPr>
        <w:spacing w:after="40" w:before="40"/>
      </w:pPr>
      <w:r>
        <w:rPr>
          <w:rFonts w:ascii="Arial" w:cs="Arial" w:eastAsia="Arial" w:hAnsi="Arial"/>
          <w:color w:val="111111"/>
          <w:sz w:val="22"/>
          <w:szCs w:val="22"/>
        </w:rPr>
        <w:t xml:space="preserve">Build React frontend: Dashboard, stock analyser page, basic screener</w:t>
      </w:r>
    </w:p>
    <w:p>
      <w:pPr>
        <w:pStyle w:val="ListParagraph"/>
        <w:numPr>
          <w:ilvl w:val="0"/>
          <w:numId w:val="2"/>
        </w:numPr>
        <w:spacing w:after="40" w:before="40"/>
      </w:pPr>
      <w:r>
        <w:rPr>
          <w:rFonts w:ascii="Arial" w:cs="Arial" w:eastAsia="Arial" w:hAnsi="Arial"/>
          <w:color w:val="111111"/>
          <w:sz w:val="22"/>
          <w:szCs w:val="22"/>
        </w:rPr>
        <w:t xml:space="preserve">Implement technical indicator calculations: RSI, MACD, EMA, volume</w:t>
      </w:r>
    </w:p>
    <w:p>
      <w:pPr>
        <w:pStyle w:val="ListParagraph"/>
        <w:numPr>
          <w:ilvl w:val="0"/>
          <w:numId w:val="2"/>
        </w:numPr>
        <w:spacing w:after="40" w:before="40"/>
      </w:pPr>
      <w:r>
        <w:rPr>
          <w:rFonts w:ascii="Arial" w:cs="Arial" w:eastAsia="Arial" w:hAnsi="Arial"/>
          <w:color w:val="111111"/>
          <w:sz w:val="22"/>
          <w:szCs w:val="22"/>
        </w:rPr>
        <w:t xml:space="preserve">Build news NLP pipeline: Sentiment scoring per article and per stock aggregation</w:t>
      </w:r>
    </w:p>
    <w:p>
      <w:pPr>
        <w:pStyle w:val="ListParagraph"/>
        <w:numPr>
          <w:ilvl w:val="0"/>
          <w:numId w:val="2"/>
        </w:numPr>
        <w:spacing w:after="40" w:before="40"/>
      </w:pPr>
      <w:r>
        <w:rPr>
          <w:rFonts w:ascii="Arial" w:cs="Arial" w:eastAsia="Arial" w:hAnsi="Arial"/>
          <w:color w:val="111111"/>
          <w:sz w:val="22"/>
          <w:szCs w:val="22"/>
        </w:rPr>
        <w:t xml:space="preserve">Build basic Alpha Score: Weighted combination of Layers 1, 2, 3, 4</w:t>
      </w:r>
    </w:p>
    <w:p>
      <w:pPr>
        <w:pStyle w:val="ListParagraph"/>
        <w:numPr>
          <w:ilvl w:val="0"/>
          <w:numId w:val="2"/>
        </w:numPr>
        <w:spacing w:after="40" w:before="40"/>
      </w:pPr>
      <w:r>
        <w:rPr>
          <w:rFonts w:ascii="Arial" w:cs="Arial" w:eastAsia="Arial" w:hAnsi="Arial"/>
          <w:color w:val="111111"/>
          <w:sz w:val="22"/>
          <w:szCs w:val="22"/>
        </w:rPr>
        <w:t xml:space="preserve">Launch to 5 beta PMS managers. Collect feedback aggressively.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 1 Target Metric</w:t>
            </w:r>
          </w:p>
        </w:tc>
        <w:tc>
          <w:tcPr>
            <w:tcW w:type="dxa" w:w="312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312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Beta clients</w:t>
            </w:r>
          </w:p>
        </w:tc>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 PMS managers</w:t>
            </w:r>
          </w:p>
        </w:tc>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Known network, free access</w:t>
            </w:r>
          </w:p>
        </w:tc>
      </w:tr>
      <w:tr>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Stocks covered</w:t>
            </w:r>
          </w:p>
        </w:tc>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Nifty500 full coverage</w:t>
            </w:r>
          </w:p>
        </w:tc>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Expand to full NSE later</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Pricing post-beta</w:t>
            </w:r>
          </w:p>
        </w:tc>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Rs.50,000 per month per seat</w:t>
            </w:r>
          </w:p>
        </w:tc>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Initial PMS pricing</w:t>
            </w:r>
          </w:p>
        </w:tc>
      </w:tr>
      <w:tr>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ARR target</w:t>
            </w:r>
          </w:p>
        </w:tc>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Rs.30 lakhs</w:t>
            </w:r>
          </w:p>
        </w:tc>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From 5 paying clients</w:t>
            </w:r>
          </w:p>
        </w:tc>
      </w:tr>
    </w:tbl>
    <w:p>
      <w:pPr>
        <w:spacing w:after="0" w:before="160"/>
      </w:pPr>
      <w:r>
        <w:t xml:space="preserve"/>
      </w:r>
    </w:p>
    <w:p>
      <w:pPr>
        <w:pStyle w:val="Heading2"/>
        <w:spacing w:after="120" w:before="240"/>
      </w:pPr>
      <w:r>
        <w:rPr>
          <w:rFonts w:ascii="Arial" w:cs="Arial" w:eastAsia="Arial" w:hAnsi="Arial"/>
          <w:b/>
          <w:bCs/>
          <w:color w:val="007A6E"/>
          <w:sz w:val="28"/>
          <w:szCs w:val="28"/>
        </w:rPr>
        <w:t xml:space="preserve">Phase 2: Full Differentiator Platform (Months 5-12)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1" w:val="clear"/>
            <w:tcMar>
              <w:top w:type="dxa" w:w="120"/>
              <w:left w:type="dxa" w:w="160"/>
              <w:bottom w:type="dxa" w:w="120"/>
              <w:right w:type="dxa" w:w="160"/>
            </w:tcMar>
          </w:tcPr>
          <w:p>
            <w:pPr>
              <w:spacing w:after="60" w:before="0"/>
            </w:pPr>
            <w:r>
              <w:rPr>
                <w:rFonts w:ascii="Arial" w:cs="Arial" w:eastAsia="Arial" w:hAnsi="Arial"/>
                <w:b/>
                <w:bCs/>
                <w:color w:val="B8860B"/>
                <w:sz w:val="22"/>
                <w:szCs w:val="22"/>
              </w:rPr>
              <w:t xml:space="preserve">Phase 2 Goal</w:t>
            </w:r>
          </w:p>
          <w:p>
            <w:pPr>
              <w:spacing w:after="0" w:before="0"/>
            </w:pPr>
            <w:r>
              <w:rPr>
                <w:rFonts w:ascii="Arial" w:cs="Arial" w:eastAsia="Arial" w:hAnsi="Arial"/>
                <w:color w:val="111111"/>
                <w:sz w:val="21"/>
                <w:szCs w:val="21"/>
              </w:rPr>
              <w:t xml:space="preserve">Add Layers 5, 6, and 7 (Trade Flows, Management Scoring, Geopolitical Engine). Build the full Stock Picker. Scale to 50 paying clients.</w:t>
            </w:r>
          </w:p>
        </w:tc>
      </w:tr>
    </w:tbl>
    <w:p>
      <w:pPr>
        <w:spacing w:after="0" w:before="120"/>
      </w:pPr>
      <w:r>
        <w:t xml:space="preserve"/>
      </w:r>
    </w:p>
    <w:p>
      <w:pPr>
        <w:pStyle w:val="ListParagraph"/>
        <w:numPr>
          <w:ilvl w:val="0"/>
          <w:numId w:val="2"/>
        </w:numPr>
        <w:spacing w:after="40" w:before="40"/>
      </w:pPr>
      <w:r>
        <w:rPr>
          <w:rFonts w:ascii="Arial" w:cs="Arial" w:eastAsia="Arial" w:hAnsi="Arial"/>
          <w:color w:val="111111"/>
          <w:sz w:val="22"/>
          <w:szCs w:val="22"/>
        </w:rPr>
        <w:t xml:space="preserve">Build management credibility engine: NLP on transcripts, pledge tracker, insider data</w:t>
      </w:r>
    </w:p>
    <w:p>
      <w:pPr>
        <w:pStyle w:val="ListParagraph"/>
        <w:numPr>
          <w:ilvl w:val="0"/>
          <w:numId w:val="2"/>
        </w:numPr>
        <w:spacing w:after="40" w:before="40"/>
      </w:pPr>
      <w:r>
        <w:rPr>
          <w:rFonts w:ascii="Arial" w:cs="Arial" w:eastAsia="Arial" w:hAnsi="Arial"/>
          <w:color w:val="111111"/>
          <w:sz w:val="22"/>
          <w:szCs w:val="22"/>
        </w:rPr>
        <w:t xml:space="preserve">Integrate DGFT trade flow data and build sector-to-stock impact mapper</w:t>
      </w:r>
    </w:p>
    <w:p>
      <w:pPr>
        <w:pStyle w:val="ListParagraph"/>
        <w:numPr>
          <w:ilvl w:val="0"/>
          <w:numId w:val="2"/>
        </w:numPr>
        <w:spacing w:after="40" w:before="40"/>
      </w:pPr>
      <w:r>
        <w:rPr>
          <w:rFonts w:ascii="Arial" w:cs="Arial" w:eastAsia="Arial" w:hAnsi="Arial"/>
          <w:color w:val="111111"/>
          <w:sz w:val="22"/>
          <w:szCs w:val="22"/>
        </w:rPr>
        <w:t xml:space="preserve">Build global sector cycle tracker with India supply chain mapping</w:t>
      </w:r>
    </w:p>
    <w:p>
      <w:pPr>
        <w:pStyle w:val="ListParagraph"/>
        <w:numPr>
          <w:ilvl w:val="0"/>
          <w:numId w:val="2"/>
        </w:numPr>
        <w:spacing w:after="40" w:before="40"/>
      </w:pPr>
      <w:r>
        <w:rPr>
          <w:rFonts w:ascii="Arial" w:cs="Arial" w:eastAsia="Arial" w:hAnsi="Arial"/>
          <w:color w:val="111111"/>
          <w:sz w:val="22"/>
          <w:szCs w:val="22"/>
        </w:rPr>
        <w:t xml:space="preserve">Build geopolitical event engine: Structured event database with stock impact model</w:t>
      </w:r>
    </w:p>
    <w:p>
      <w:pPr>
        <w:pStyle w:val="ListParagraph"/>
        <w:numPr>
          <w:ilvl w:val="0"/>
          <w:numId w:val="2"/>
        </w:numPr>
        <w:spacing w:after="40" w:before="40"/>
      </w:pPr>
      <w:r>
        <w:rPr>
          <w:rFonts w:ascii="Arial" w:cs="Arial" w:eastAsia="Arial" w:hAnsi="Arial"/>
          <w:color w:val="111111"/>
          <w:sz w:val="22"/>
          <w:szCs w:val="22"/>
        </w:rPr>
        <w:t xml:space="preserve">Build full Smart Screener with all 25+ filters</w:t>
      </w:r>
    </w:p>
    <w:p>
      <w:pPr>
        <w:pStyle w:val="ListParagraph"/>
        <w:numPr>
          <w:ilvl w:val="0"/>
          <w:numId w:val="2"/>
        </w:numPr>
        <w:spacing w:after="40" w:before="40"/>
      </w:pPr>
      <w:r>
        <w:rPr>
          <w:rFonts w:ascii="Arial" w:cs="Arial" w:eastAsia="Arial" w:hAnsi="Arial"/>
          <w:color w:val="111111"/>
          <w:sz w:val="22"/>
          <w:szCs w:val="22"/>
        </w:rPr>
        <w:t xml:space="preserve">Build natural language query interface</w:t>
      </w:r>
    </w:p>
    <w:p>
      <w:pPr>
        <w:pStyle w:val="ListParagraph"/>
        <w:numPr>
          <w:ilvl w:val="0"/>
          <w:numId w:val="2"/>
        </w:numPr>
        <w:spacing w:after="40" w:before="40"/>
      </w:pPr>
      <w:r>
        <w:rPr>
          <w:rFonts w:ascii="Arial" w:cs="Arial" w:eastAsia="Arial" w:hAnsi="Arial"/>
          <w:color w:val="111111"/>
          <w:sz w:val="22"/>
          <w:szCs w:val="22"/>
        </w:rPr>
        <w:t xml:space="preserve">Build full research report generator (PDF export)</w:t>
      </w:r>
    </w:p>
    <w:p>
      <w:pPr>
        <w:pStyle w:val="ListParagraph"/>
        <w:numPr>
          <w:ilvl w:val="0"/>
          <w:numId w:val="2"/>
        </w:numPr>
        <w:spacing w:after="40" w:before="40"/>
      </w:pPr>
      <w:r>
        <w:rPr>
          <w:rFonts w:ascii="Arial" w:cs="Arial" w:eastAsia="Arial" w:hAnsi="Arial"/>
          <w:color w:val="111111"/>
          <w:sz w:val="22"/>
          <w:szCs w:val="22"/>
        </w:rPr>
        <w:t xml:space="preserve">Build portfolio manager and alert system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 2 Target Metric</w:t>
            </w:r>
          </w:p>
        </w:tc>
        <w:tc>
          <w:tcPr>
            <w:tcW w:type="dxa" w:w="312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312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Paying clients</w:t>
            </w:r>
          </w:p>
        </w:tc>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50 PMS and AIF managers</w:t>
            </w:r>
          </w:p>
        </w:tc>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Sales-led GTM</w:t>
            </w:r>
          </w:p>
        </w:tc>
      </w:tr>
      <w:tr>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Pricing</w:t>
            </w:r>
          </w:p>
        </w:tc>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Rs.2 lakhs per month per seat</w:t>
            </w:r>
          </w:p>
        </w:tc>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Full platform access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ARR target</w:t>
            </w:r>
          </w:p>
        </w:tc>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Rs.12 crores</w:t>
            </w:r>
          </w:p>
        </w:tc>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50 clients x Rs.2L x 12</w:t>
            </w:r>
          </w:p>
        </w:tc>
      </w:tr>
      <w:tr>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Key milestone</w:t>
            </w:r>
          </w:p>
        </w:tc>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First enterprise contract (AIF)</w:t>
            </w:r>
          </w:p>
        </w:tc>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Validates institutional use case</w:t>
            </w:r>
          </w:p>
        </w:tc>
      </w:tr>
    </w:tbl>
    <w:p>
      <w:pPr>
        <w:spacing w:after="0" w:before="160"/>
      </w:pPr>
      <w:r>
        <w:t xml:space="preserve"/>
      </w:r>
    </w:p>
    <w:p>
      <w:pPr>
        <w:pStyle w:val="Heading2"/>
        <w:spacing w:after="120" w:before="240"/>
      </w:pPr>
      <w:r>
        <w:rPr>
          <w:rFonts w:ascii="Arial" w:cs="Arial" w:eastAsia="Arial" w:hAnsi="Arial"/>
          <w:b/>
          <w:bCs/>
          <w:color w:val="007A6E"/>
          <w:sz w:val="28"/>
          <w:szCs w:val="28"/>
        </w:rPr>
        <w:t xml:space="preserve">Phase 3: Market Leader (Months 13-24)</w:t>
      </w:r>
    </w:p>
    <w:p>
      <w:pPr>
        <w:pStyle w:val="ListParagraph"/>
        <w:numPr>
          <w:ilvl w:val="0"/>
          <w:numId w:val="3"/>
        </w:numPr>
        <w:spacing w:after="40" w:before="40"/>
      </w:pPr>
      <w:r>
        <w:rPr>
          <w:rFonts w:ascii="Arial" w:cs="Arial" w:eastAsia="Arial" w:hAnsi="Arial"/>
          <w:color w:val="111111"/>
          <w:sz w:val="22"/>
          <w:szCs w:val="22"/>
        </w:rPr>
        <w:t xml:space="preserve">API access tier: Allow quant funds to query Alpha Scores and signals programmatically</w:t>
      </w:r>
    </w:p>
    <w:p>
      <w:pPr>
        <w:pStyle w:val="ListParagraph"/>
        <w:numPr>
          <w:ilvl w:val="0"/>
          <w:numId w:val="3"/>
        </w:numPr>
        <w:spacing w:after="40" w:before="40"/>
      </w:pPr>
      <w:r>
        <w:rPr>
          <w:rFonts w:ascii="Arial" w:cs="Arial" w:eastAsia="Arial" w:hAnsi="Arial"/>
          <w:color w:val="111111"/>
          <w:sz w:val="22"/>
          <w:szCs w:val="22"/>
        </w:rPr>
        <w:t xml:space="preserve">White-label offering: License the platform to brokerages and wealth management firms</w:t>
      </w:r>
    </w:p>
    <w:p>
      <w:pPr>
        <w:pStyle w:val="ListParagraph"/>
        <w:numPr>
          <w:ilvl w:val="0"/>
          <w:numId w:val="3"/>
        </w:numPr>
        <w:spacing w:after="40" w:before="40"/>
      </w:pPr>
      <w:r>
        <w:rPr>
          <w:rFonts w:ascii="Arial" w:cs="Arial" w:eastAsia="Arial" w:hAnsi="Arial"/>
          <w:color w:val="111111"/>
          <w:sz w:val="22"/>
          <w:szCs w:val="22"/>
        </w:rPr>
        <w:t xml:space="preserve">Custom model training: Fund managers can train custom factor models on their own philosophy</w:t>
      </w:r>
    </w:p>
    <w:p>
      <w:pPr>
        <w:pStyle w:val="ListParagraph"/>
        <w:numPr>
          <w:ilvl w:val="0"/>
          <w:numId w:val="3"/>
        </w:numPr>
        <w:spacing w:after="40" w:before="40"/>
      </w:pPr>
      <w:r>
        <w:rPr>
          <w:rFonts w:ascii="Arial" w:cs="Arial" w:eastAsia="Arial" w:hAnsi="Arial"/>
          <w:color w:val="111111"/>
          <w:sz w:val="22"/>
          <w:szCs w:val="22"/>
        </w:rPr>
        <w:t xml:space="preserve">Global market expansion: Add US market (NYSE/NASDAQ) as second market</w:t>
      </w:r>
    </w:p>
    <w:p>
      <w:pPr>
        <w:pStyle w:val="ListParagraph"/>
        <w:numPr>
          <w:ilvl w:val="0"/>
          <w:numId w:val="3"/>
        </w:numPr>
        <w:spacing w:after="40" w:before="40"/>
      </w:pPr>
      <w:r>
        <w:rPr>
          <w:rFonts w:ascii="Arial" w:cs="Arial" w:eastAsia="Arial" w:hAnsi="Arial"/>
          <w:color w:val="111111"/>
          <w:sz w:val="22"/>
          <w:szCs w:val="22"/>
        </w:rPr>
        <w:t xml:space="preserve">Series A fundraise: Target Rs.50-100 Cr from institutional VC</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 3 Target Metric</w:t>
            </w:r>
          </w:p>
        </w:tc>
        <w:tc>
          <w:tcPr>
            <w:tcW w:type="dxa" w:w="312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312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Total clients</w:t>
            </w:r>
          </w:p>
        </w:tc>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200+</w:t>
            </w:r>
          </w:p>
        </w:tc>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PMS + AIF + Family Offices + Brokerages</w:t>
            </w:r>
          </w:p>
        </w:tc>
      </w:tr>
      <w:tr>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Blended ARPU</w:t>
            </w:r>
          </w:p>
        </w:tc>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Rs.4 lakhs per month</w:t>
            </w:r>
          </w:p>
        </w:tc>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Including enterprise + API tiers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ARR target</w:t>
            </w:r>
          </w:p>
        </w:tc>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Rs.100 crores</w:t>
            </w:r>
          </w:p>
        </w:tc>
        <w:tc>
          <w:tcPr>
            <w:tcW w:type="dxa" w:w="312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Market leadership position</w:t>
            </w:r>
          </w:p>
        </w:tc>
      </w:tr>
      <w:tr>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Fundraise</w:t>
            </w:r>
          </w:p>
        </w:tc>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Series A Rs.50-100 Cr</w:t>
            </w:r>
          </w:p>
        </w:tc>
        <w:tc>
          <w:tcPr>
            <w:tcW w:type="dxa" w:w="312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For global expansion</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5" w:val="clear"/>
            <w:tcMar>
              <w:top w:type="dxa" w:w="200"/>
              <w:left w:type="dxa" w:w="240"/>
              <w:bottom w:type="dxa" w:w="200"/>
              <w:right w:type="dxa" w:w="240"/>
            </w:tcMar>
          </w:tcPr>
          <w:p>
            <w:pPr>
              <w:spacing w:after="80" w:before="0"/>
            </w:pPr>
            <w:r>
              <w:rPr>
                <w:rFonts w:ascii="Arial" w:cs="Arial" w:eastAsia="Arial" w:hAnsi="Arial"/>
                <w:b/>
                <w:bCs/>
                <w:color w:val="FFFFFF"/>
                <w:sz w:val="32"/>
                <w:szCs w:val="32"/>
              </w:rPr>
              <w:t xml:space="preserve">09  COMPETITIVE LANDSCAPE &amp; MOAT</w:t>
            </w:r>
          </w:p>
          <w:p>
            <w:pPr>
              <w:spacing w:after="0" w:before="0"/>
            </w:pPr>
            <w:r>
              <w:rPr>
                <w:rFonts w:ascii="Arial" w:cs="Arial" w:eastAsia="Arial" w:hAnsi="Arial"/>
                <w:color w:val="AACCDD"/>
                <w:sz w:val="21"/>
                <w:szCs w:val="21"/>
              </w:rPr>
              <w:t xml:space="preserve">Why Vaani wins and cannot be easily copied</w:t>
            </w:r>
          </w:p>
        </w:tc>
      </w:tr>
    </w:tbl>
    <w:p>
      <w:pPr>
        <w:spacing w:after="0" w:before="200"/>
      </w:pPr>
      <w:r>
        <w:t xml:space="preserve"/>
      </w:r>
    </w:p>
    <w:p>
      <w:pPr>
        <w:pStyle w:val="Heading1"/>
        <w:pBdr>
          <w:bottom w:val="single" w:color="007A6E" w:sz="6" w:space="4"/>
        </w:pBdr>
        <w:spacing w:after="160" w:before="320"/>
      </w:pPr>
      <w:r>
        <w:rPr>
          <w:rFonts w:ascii="Arial" w:cs="Arial" w:eastAsia="Arial" w:hAnsi="Arial"/>
          <w:b/>
          <w:bCs/>
          <w:color w:val="0D2B45"/>
          <w:sz w:val="36"/>
          <w:szCs w:val="36"/>
        </w:rPr>
        <w:t xml:space="preserve">9. Competitive Landscape &amp; Moat</w:t>
      </w:r>
    </w:p>
    <w:p>
      <w:pPr>
        <w:pStyle w:val="Heading2"/>
        <w:spacing w:after="120" w:before="240"/>
      </w:pPr>
      <w:r>
        <w:rPr>
          <w:rFonts w:ascii="Arial" w:cs="Arial" w:eastAsia="Arial" w:hAnsi="Arial"/>
          <w:b/>
          <w:bCs/>
          <w:color w:val="007A6E"/>
          <w:sz w:val="28"/>
          <w:szCs w:val="28"/>
        </w:rPr>
        <w:t xml:space="preserve">9.1 Existing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Player</w:t>
            </w:r>
          </w:p>
        </w:tc>
        <w:tc>
          <w:tcPr>
            <w:tcW w:type="dxa" w:w="20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Strength</w:t>
            </w:r>
          </w:p>
        </w:tc>
        <w:tc>
          <w:tcPr>
            <w:tcW w:type="dxa" w:w="200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Weakness</w:t>
            </w:r>
          </w:p>
        </w:tc>
        <w:tc>
          <w:tcPr>
            <w:tcW w:type="dxa" w:w="3160"/>
            <w:tcBorders>
              <w:top w:val="single" w:color="007A6E" w:sz="1"/>
              <w:left w:val="single" w:color="007A6E" w:sz="1"/>
              <w:bottom w:val="single" w:color="007A6E" w:sz="1"/>
              <w:right w:val="single" w:color="007A6E" w:sz="1"/>
            </w:tcBorders>
            <w:shd w:fill="0D2B4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Vaani Advantage</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Trendlyne</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Screening, alerts</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AI, no alt data</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7-layer AI synthesis + NL query</w:t>
            </w:r>
          </w:p>
        </w:tc>
      </w:tr>
      <w:tr>
        <w:tc>
          <w:tcPr>
            <w:tcW w:type="dxa" w:w="22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Tijori Finance</w:t>
            </w:r>
          </w:p>
        </w:tc>
        <w:tc>
          <w:tcPr>
            <w:tcW w:type="dxa" w:w="20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Data depth, visualisation</w:t>
            </w:r>
          </w:p>
        </w:tc>
        <w:tc>
          <w:tcPr>
            <w:tcW w:type="dxa" w:w="20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No picker, no geopolitical layer</w:t>
            </w:r>
          </w:p>
        </w:tc>
        <w:tc>
          <w:tcPr>
            <w:tcW w:type="dxa" w:w="31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Full stock picker + geo engine</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Screener.in</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Simple, fast, free tier</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live data, no alt data, no AI</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Institutional grade, live, AI-powered</w:t>
            </w:r>
          </w:p>
        </w:tc>
      </w:tr>
      <w:tr>
        <w:tc>
          <w:tcPr>
            <w:tcW w:type="dxa" w:w="22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Bloomberg Terminal</w:t>
            </w:r>
          </w:p>
        </w:tc>
        <w:tc>
          <w:tcPr>
            <w:tcW w:type="dxa" w:w="20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Global data depth</w:t>
            </w:r>
          </w:p>
        </w:tc>
        <w:tc>
          <w:tcPr>
            <w:tcW w:type="dxa" w:w="200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Rs.25L/year, poor India alt data</w:t>
            </w:r>
          </w:p>
        </w:tc>
        <w:tc>
          <w:tcPr>
            <w:tcW w:type="dxa" w:w="3160"/>
            <w:tcBorders>
              <w:top w:val="single" w:color="CCDDEE" w:sz="1"/>
              <w:left w:val="single" w:color="CCDDEE" w:sz="1"/>
              <w:bottom w:val="single" w:color="CCDDEE" w:sz="1"/>
              <w:right w:val="single" w:color="CCDDEE" w:sz="1"/>
            </w:tcBorders>
            <w:shd w:fill="F4F6F8" w:val="clear"/>
            <w:tcMar>
              <w:top w:type="dxa" w:w="80"/>
              <w:left w:type="dxa" w:w="120"/>
              <w:bottom w:type="dxa" w:w="80"/>
              <w:right w:type="dxa" w:w="120"/>
            </w:tcMar>
          </w:tcPr>
          <w:p>
            <w:r>
              <w:rPr>
                <w:rFonts w:ascii="Arial" w:cs="Arial" w:eastAsia="Arial" w:hAnsi="Arial"/>
                <w:color w:val="111111"/>
                <w:sz w:val="20"/>
                <w:szCs w:val="20"/>
              </w:rPr>
              <w:t xml:space="preserve">India-native at 1/10th the price</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In-house analyst teams</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Deep domain knowledge</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Time-limited, expensive, not scalable</w:t>
            </w:r>
          </w:p>
        </w:tc>
        <w:tc>
          <w:tcPr>
            <w:tcW w:type="dxa" w:w="3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5,000-stock coverage, always on</w:t>
            </w:r>
          </w:p>
        </w:tc>
      </w:tr>
    </w:tbl>
    <w:p>
      <w:pPr>
        <w:spacing w:after="0" w:before="160"/>
      </w:pPr>
      <w:r>
        <w:t xml:space="preserve"/>
      </w:r>
    </w:p>
    <w:p>
      <w:pPr>
        <w:pStyle w:val="Heading2"/>
        <w:spacing w:after="120" w:before="240"/>
      </w:pPr>
      <w:r>
        <w:rPr>
          <w:rFonts w:ascii="Arial" w:cs="Arial" w:eastAsia="Arial" w:hAnsi="Arial"/>
          <w:b/>
          <w:bCs/>
          <w:color w:val="007A6E"/>
          <w:sz w:val="28"/>
          <w:szCs w:val="28"/>
        </w:rPr>
        <w:t xml:space="preserve">9.2 Sustainable Moat</w:t>
      </w:r>
    </w:p>
    <w:p>
      <w:pPr>
        <w:pStyle w:val="ListParagraph"/>
        <w:numPr>
          <w:ilvl w:val="0"/>
          <w:numId w:val="3"/>
        </w:numPr>
        <w:spacing w:after="40" w:before="40"/>
      </w:pPr>
      <w:r>
        <w:rPr>
          <w:rFonts w:ascii="Arial" w:cs="Arial" w:eastAsia="Arial" w:hAnsi="Arial"/>
          <w:color w:val="111111"/>
          <w:sz w:val="22"/>
          <w:szCs w:val="22"/>
        </w:rPr>
        <w:t xml:space="preserve">Data network effect: Every new client adds feedback that improves model accuracy. Accuracy compounds over time.</w:t>
      </w:r>
    </w:p>
    <w:p>
      <w:pPr>
        <w:pStyle w:val="ListParagraph"/>
        <w:numPr>
          <w:ilvl w:val="0"/>
          <w:numId w:val="3"/>
        </w:numPr>
        <w:spacing w:after="40" w:before="40"/>
      </w:pPr>
      <w:r>
        <w:rPr>
          <w:rFonts w:ascii="Arial" w:cs="Arial" w:eastAsia="Arial" w:hAnsi="Arial"/>
          <w:color w:val="111111"/>
          <w:sz w:val="22"/>
          <w:szCs w:val="22"/>
        </w:rPr>
        <w:t xml:space="preserve">India-specific training: NLP models fine-tuned on Indian financial language (Hindi-English mix, BSE filing style) cannot be replicated without years of data.</w:t>
      </w:r>
    </w:p>
    <w:p>
      <w:pPr>
        <w:pStyle w:val="ListParagraph"/>
        <w:numPr>
          <w:ilvl w:val="0"/>
          <w:numId w:val="3"/>
        </w:numPr>
        <w:spacing w:after="40" w:before="40"/>
      </w:pPr>
      <w:r>
        <w:rPr>
          <w:rFonts w:ascii="Arial" w:cs="Arial" w:eastAsia="Arial" w:hAnsi="Arial"/>
          <w:color w:val="111111"/>
          <w:sz w:val="22"/>
          <w:szCs w:val="22"/>
        </w:rPr>
        <w:t xml:space="preserve">Management database: Historical AGM transcripts, pledge data, and guidance accuracy scores built over years become a proprietary asset.</w:t>
      </w:r>
    </w:p>
    <w:p>
      <w:pPr>
        <w:pStyle w:val="ListParagraph"/>
        <w:numPr>
          <w:ilvl w:val="0"/>
          <w:numId w:val="3"/>
        </w:numPr>
        <w:spacing w:after="40" w:before="40"/>
      </w:pPr>
      <w:r>
        <w:rPr>
          <w:rFonts w:ascii="Arial" w:cs="Arial" w:eastAsia="Arial" w:hAnsi="Arial"/>
          <w:color w:val="111111"/>
          <w:sz w:val="22"/>
          <w:szCs w:val="22"/>
        </w:rPr>
        <w:t xml:space="preserve">Switching cost: Once a fund manager builds their portfolio, alerts, saved screens, and custom models on Vaani, moving to a competitor is expensive and disruptive.</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5" w:val="clear"/>
            <w:tcMar>
              <w:top w:type="dxa" w:w="200"/>
              <w:left w:type="dxa" w:w="240"/>
              <w:bottom w:type="dxa" w:w="200"/>
              <w:right w:type="dxa" w:w="240"/>
            </w:tcMar>
          </w:tcPr>
          <w:p>
            <w:pPr>
              <w:spacing w:after="80" w:before="0"/>
            </w:pPr>
            <w:r>
              <w:rPr>
                <w:rFonts w:ascii="Arial" w:cs="Arial" w:eastAsia="Arial" w:hAnsi="Arial"/>
                <w:b/>
                <w:bCs/>
                <w:color w:val="FFFFFF"/>
                <w:sz w:val="32"/>
                <w:szCs w:val="32"/>
              </w:rPr>
              <w:t xml:space="preserve">10  IMMEDIATE NEXT STEPS</w:t>
            </w:r>
          </w:p>
          <w:p>
            <w:pPr>
              <w:spacing w:after="0" w:before="0"/>
            </w:pPr>
            <w:r>
              <w:rPr>
                <w:rFonts w:ascii="Arial" w:cs="Arial" w:eastAsia="Arial" w:hAnsi="Arial"/>
                <w:color w:val="AACCDD"/>
                <w:sz w:val="21"/>
                <w:szCs w:val="21"/>
              </w:rPr>
              <w:t xml:space="preserve">Concrete actions to move from blueprint to build</w:t>
            </w:r>
          </w:p>
        </w:tc>
      </w:tr>
    </w:tbl>
    <w:p>
      <w:pPr>
        <w:spacing w:after="0" w:before="200"/>
      </w:pPr>
      <w:r>
        <w:t xml:space="preserve"/>
      </w:r>
    </w:p>
    <w:p>
      <w:pPr>
        <w:pStyle w:val="Heading1"/>
        <w:pBdr>
          <w:bottom w:val="single" w:color="007A6E" w:sz="6" w:space="4"/>
        </w:pBdr>
        <w:spacing w:after="160" w:before="320"/>
      </w:pPr>
      <w:r>
        <w:rPr>
          <w:rFonts w:ascii="Arial" w:cs="Arial" w:eastAsia="Arial" w:hAnsi="Arial"/>
          <w:b/>
          <w:bCs/>
          <w:color w:val="0D2B45"/>
          <w:sz w:val="36"/>
          <w:szCs w:val="36"/>
        </w:rPr>
        <w:t xml:space="preserve">10. Immediate Next Steps</w:t>
      </w:r>
    </w:p>
    <w:p>
      <w:pPr>
        <w:spacing w:after="60" w:before="60"/>
      </w:pPr>
      <w:r>
        <w:rPr>
          <w:rFonts w:ascii="Arial" w:cs="Arial" w:eastAsia="Arial" w:hAnsi="Arial"/>
          <w:color w:val="111111"/>
          <w:sz w:val="22"/>
          <w:szCs w:val="22"/>
        </w:rPr>
        <w:t xml:space="preserve">To move from this blueprint to a working product, the following actions must be completed in the first 30 days:</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Week 1-2: Validation</w:t>
      </w:r>
    </w:p>
    <w:p>
      <w:pPr>
        <w:pStyle w:val="ListParagraph"/>
        <w:numPr>
          <w:ilvl w:val="0"/>
          <w:numId w:val="2"/>
        </w:numPr>
        <w:spacing w:after="40" w:before="40"/>
      </w:pPr>
      <w:r>
        <w:rPr>
          <w:rFonts w:ascii="Arial" w:cs="Arial" w:eastAsia="Arial" w:hAnsi="Arial"/>
          <w:color w:val="111111"/>
          <w:sz w:val="22"/>
          <w:szCs w:val="22"/>
        </w:rPr>
        <w:t xml:space="preserve">Talk to 10 PMS managers in your network. Show this blueprint. Identify the 3 features they would pay for first.</w:t>
      </w:r>
    </w:p>
    <w:p>
      <w:pPr>
        <w:pStyle w:val="ListParagraph"/>
        <w:numPr>
          <w:ilvl w:val="0"/>
          <w:numId w:val="2"/>
        </w:numPr>
        <w:spacing w:after="40" w:before="40"/>
      </w:pPr>
      <w:r>
        <w:rPr>
          <w:rFonts w:ascii="Arial" w:cs="Arial" w:eastAsia="Arial" w:hAnsi="Arial"/>
          <w:color w:val="111111"/>
          <w:sz w:val="22"/>
          <w:szCs w:val="22"/>
        </w:rPr>
        <w:t xml:space="preserve">Get a signed Letter of Intent (not a contract, just a statement of interest) from 3 potential beta clients. This de-risks the build.</w:t>
      </w:r>
    </w:p>
    <w:p>
      <w:pPr>
        <w:pStyle w:val="ListParagraph"/>
        <w:numPr>
          <w:ilvl w:val="0"/>
          <w:numId w:val="2"/>
        </w:numPr>
        <w:spacing w:after="40" w:before="40"/>
      </w:pPr>
      <w:r>
        <w:rPr>
          <w:rFonts w:ascii="Arial" w:cs="Arial" w:eastAsia="Arial" w:hAnsi="Arial"/>
          <w:color w:val="111111"/>
          <w:sz w:val="22"/>
          <w:szCs w:val="22"/>
        </w:rPr>
        <w:t xml:space="preserve">Decide on data vendor: Request trial access from Ace Equity, Capitaline, and Refinitiv. Compare cost vs data completeness.</w:t>
      </w:r>
    </w:p>
    <w:p>
      <w:pPr>
        <w:spacing w:after="0" w:before="120"/>
      </w:pPr>
      <w:r>
        <w:t xml:space="preserve"/>
      </w:r>
    </w:p>
    <w:p>
      <w:pPr>
        <w:pStyle w:val="Heading2"/>
        <w:spacing w:after="120" w:before="240"/>
      </w:pPr>
      <w:r>
        <w:rPr>
          <w:rFonts w:ascii="Arial" w:cs="Arial" w:eastAsia="Arial" w:hAnsi="Arial"/>
          <w:b/>
          <w:bCs/>
          <w:color w:val="007A6E"/>
          <w:sz w:val="28"/>
          <w:szCs w:val="28"/>
        </w:rPr>
        <w:t xml:space="preserve">Week 3-4: Team &amp; Tech</w:t>
      </w:r>
    </w:p>
    <w:p>
      <w:pPr>
        <w:pStyle w:val="ListParagraph"/>
        <w:numPr>
          <w:ilvl w:val="0"/>
          <w:numId w:val="2"/>
        </w:numPr>
        <w:spacing w:after="40" w:before="40"/>
      </w:pPr>
      <w:r>
        <w:rPr>
          <w:rFonts w:ascii="Arial" w:cs="Arial" w:eastAsia="Arial" w:hAnsi="Arial"/>
          <w:color w:val="111111"/>
          <w:sz w:val="22"/>
          <w:szCs w:val="22"/>
        </w:rPr>
        <w:t xml:space="preserve">Identify your technical co-founder or lead engineer. Must have: Python data engineering background + some ML/NLP experience. This is the single most important hire.</w:t>
      </w:r>
    </w:p>
    <w:p>
      <w:pPr>
        <w:pStyle w:val="ListParagraph"/>
        <w:numPr>
          <w:ilvl w:val="0"/>
          <w:numId w:val="2"/>
        </w:numPr>
        <w:spacing w:after="40" w:before="40"/>
      </w:pPr>
      <w:r>
        <w:rPr>
          <w:rFonts w:ascii="Arial" w:cs="Arial" w:eastAsia="Arial" w:hAnsi="Arial"/>
          <w:color w:val="111111"/>
          <w:sz w:val="22"/>
          <w:szCs w:val="22"/>
        </w:rPr>
        <w:t xml:space="preserve">Set up development environment: AWS account, GitHub repo, basic FastAPI skeleton, PostgreSQL instance.</w:t>
      </w:r>
    </w:p>
    <w:p>
      <w:pPr>
        <w:pStyle w:val="ListParagraph"/>
        <w:numPr>
          <w:ilvl w:val="0"/>
          <w:numId w:val="2"/>
        </w:numPr>
        <w:spacing w:after="40" w:before="40"/>
      </w:pPr>
      <w:r>
        <w:rPr>
          <w:rFonts w:ascii="Arial" w:cs="Arial" w:eastAsia="Arial" w:hAnsi="Arial"/>
          <w:color w:val="111111"/>
          <w:sz w:val="22"/>
          <w:szCs w:val="22"/>
        </w:rPr>
        <w:t xml:space="preserve">Begin building the DCF engine first — it is the highest-value, most defensible feature and validates the core value proposition immediately.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6E" w:sz="1"/>
              <w:left w:val="single" w:color="007A6E" w:sz="1"/>
              <w:bottom w:val="single" w:color="007A6E" w:sz="1"/>
              <w:right w:val="single" w:color="007A6E" w:sz="1"/>
            </w:tcBorders>
            <w:shd w:fill="E6F4F2" w:val="clear"/>
            <w:tcMar>
              <w:top w:type="dxa" w:w="120"/>
              <w:left w:type="dxa" w:w="160"/>
              <w:bottom w:type="dxa" w:w="120"/>
              <w:right w:type="dxa" w:w="160"/>
            </w:tcMar>
          </w:tcPr>
          <w:p>
            <w:pPr>
              <w:spacing w:after="60" w:before="0"/>
            </w:pPr>
            <w:r>
              <w:rPr>
                <w:rFonts w:ascii="Arial" w:cs="Arial" w:eastAsia="Arial" w:hAnsi="Arial"/>
                <w:b/>
                <w:bCs/>
                <w:color w:val="007A6E"/>
                <w:sz w:val="22"/>
                <w:szCs w:val="22"/>
              </w:rPr>
              <w:t xml:space="preserve">The One Thing to Do First</w:t>
            </w:r>
          </w:p>
          <w:p>
            <w:pPr>
              <w:spacing w:after="0" w:before="0"/>
            </w:pPr>
            <w:r>
              <w:rPr>
                <w:rFonts w:ascii="Arial" w:cs="Arial" w:eastAsia="Arial" w:hAnsi="Arial"/>
                <w:color w:val="111111"/>
                <w:sz w:val="21"/>
                <w:szCs w:val="21"/>
              </w:rPr>
              <w:t xml:space="preserve">Before writing any code, get one PMS manager to sit with you for 2 hours and walk through their current research process. Every pain point they describe is a feature. Every tool they currently use is a competitor. This conversation is worth more than any document.</w:t>
            </w:r>
          </w:p>
        </w:tc>
      </w:tr>
    </w:tbl>
    <w:p>
      <w:pPr>
        <w:spacing w:after="0" w:before="160"/>
      </w:pPr>
      <w:r>
        <w:t xml:space="preserve"/>
      </w:r>
    </w:p>
    <w:p>
      <w:pPr>
        <w:pStyle w:val="Heading2"/>
        <w:spacing w:after="120" w:before="240"/>
      </w:pPr>
      <w:r>
        <w:rPr>
          <w:rFonts w:ascii="Arial" w:cs="Arial" w:eastAsia="Arial" w:hAnsi="Arial"/>
          <w:b/>
          <w:bCs/>
          <w:color w:val="007A6E"/>
          <w:sz w:val="28"/>
          <w:szCs w:val="28"/>
        </w:rPr>
        <w:t xml:space="preserve">Key Decisions to Make</w:t>
      </w:r>
    </w:p>
    <w:p>
      <w:pPr>
        <w:pStyle w:val="ListParagraph"/>
        <w:numPr>
          <w:ilvl w:val="0"/>
          <w:numId w:val="3"/>
        </w:numPr>
        <w:spacing w:after="40" w:before="40"/>
      </w:pPr>
      <w:r>
        <w:rPr>
          <w:rFonts w:ascii="Arial" w:cs="Arial" w:eastAsia="Arial" w:hAnsi="Arial"/>
          <w:color w:val="111111"/>
          <w:sz w:val="22"/>
          <w:szCs w:val="22"/>
        </w:rPr>
        <w:t xml:space="preserve">Solo founder vs co-founder: This platform needs deep finance AND deep tech. Consider bringing a technical co-founder.</w:t>
      </w:r>
    </w:p>
    <w:p>
      <w:pPr>
        <w:pStyle w:val="ListParagraph"/>
        <w:numPr>
          <w:ilvl w:val="0"/>
          <w:numId w:val="3"/>
        </w:numPr>
        <w:spacing w:after="40" w:before="40"/>
      </w:pPr>
      <w:r>
        <w:rPr>
          <w:rFonts w:ascii="Arial" w:cs="Arial" w:eastAsia="Arial" w:hAnsi="Arial"/>
          <w:color w:val="111111"/>
          <w:sz w:val="22"/>
          <w:szCs w:val="22"/>
        </w:rPr>
        <w:t xml:space="preserve">Bootstrapped vs funded: Phase 1 (Rs.30L ARR) is achievable bootstrapped. Phase 2 may need Rs.2-5 Cr seed funding for data vendor costs and team.</w:t>
      </w:r>
    </w:p>
    <w:p>
      <w:pPr>
        <w:pStyle w:val="ListParagraph"/>
        <w:numPr>
          <w:ilvl w:val="0"/>
          <w:numId w:val="3"/>
        </w:numPr>
        <w:spacing w:after="40" w:before="40"/>
      </w:pPr>
      <w:r>
        <w:rPr>
          <w:rFonts w:ascii="Arial" w:cs="Arial" w:eastAsia="Arial" w:hAnsi="Arial"/>
          <w:color w:val="111111"/>
          <w:sz w:val="22"/>
          <w:szCs w:val="22"/>
        </w:rPr>
        <w:t xml:space="preserve">Regulatory positioning: Platform must be positioned as a research TOOL, not investment ADVICE. SEBI registration as Investment Adviser is not required if the platform does not give personalised recommendations. Get a legal opinion early.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6E" w:sz="1"/>
              <w:left w:val="single" w:color="007A6E" w:sz="1"/>
              <w:bottom w:val="single" w:color="007A6E" w:sz="1"/>
              <w:right w:val="single" w:color="007A6E" w:sz="1"/>
            </w:tcBorders>
            <w:shd w:fill="0D2B45" w:val="clear"/>
            <w:tcMar>
              <w:top w:type="dxa" w:w="240"/>
              <w:left w:type="dxa" w:w="280"/>
              <w:bottom w:type="dxa" w:w="240"/>
              <w:right w:type="dxa" w:w="280"/>
            </w:tcMar>
          </w:tcPr>
          <w:p>
            <w:pPr>
              <w:spacing w:after="100" w:before="0"/>
              <w:jc w:val="center"/>
            </w:pPr>
            <w:r>
              <w:rPr>
                <w:rFonts w:ascii="Arial" w:cs="Arial" w:eastAsia="Arial" w:hAnsi="Arial"/>
                <w:b/>
                <w:bCs/>
                <w:color w:val="FFFFFF"/>
                <w:sz w:val="26"/>
                <w:szCs w:val="26"/>
              </w:rPr>
              <w:t xml:space="preserve">This is a solvable problem. The data exists. The technology exists.</w:t>
            </w:r>
          </w:p>
          <w:p>
            <w:pPr>
              <w:spacing w:after="100" w:before="0"/>
              <w:jc w:val="center"/>
            </w:pPr>
            <w:r>
              <w:rPr>
                <w:rFonts w:ascii="Arial" w:cs="Arial" w:eastAsia="Arial" w:hAnsi="Arial"/>
                <w:i/>
                <w:iCs/>
                <w:color w:val="AACCDD"/>
                <w:sz w:val="22"/>
                <w:szCs w:val="22"/>
              </w:rPr>
              <w:t xml:space="preserve">Nobody has built it properly for India yet.</w:t>
            </w:r>
          </w:p>
          <w:p>
            <w:pPr>
              <w:spacing w:after="0" w:before="0"/>
              <w:jc w:val="center"/>
            </w:pPr>
            <w:r>
              <w:rPr>
                <w:rFonts w:ascii="Arial" w:cs="Arial" w:eastAsia="Arial" w:hAnsi="Arial"/>
                <w:b/>
                <w:bCs/>
                <w:color w:val="007A6E"/>
                <w:sz w:val="24"/>
                <w:szCs w:val="24"/>
              </w:rPr>
              <w:t xml:space="preserve">Vaani can be that platform.</w:t>
            </w:r>
          </w:p>
        </w:tc>
      </w:tr>
    </w:tbl>
    <w:p>
      <w:pPr>
        <w:spacing w:after="0" w:before="160"/>
      </w:pPr>
      <w:r>
        <w:t xml:space="preserve"/>
      </w:r>
    </w:p>
    <w:p>
      <w:pPr>
        <w:spacing w:after="0" w:before="0"/>
        <w:jc w:val="center"/>
      </w:pPr>
      <w:r>
        <w:rPr>
          <w:rFonts w:ascii="Arial" w:cs="Arial" w:eastAsia="Arial" w:hAnsi="Arial"/>
          <w:i/>
          <w:iCs/>
          <w:color w:val="5A6B7A"/>
          <w:sz w:val="18"/>
          <w:szCs w:val="18"/>
        </w:rPr>
        <w:t xml:space="preserve">End of Blueprint Document  —  Vaani Platform v1.0  —  March 2026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4" w:space="4"/>
      </w:pBdr>
      <w:spacing w:before="80"/>
    </w:pPr>
    <w:r>
      <w:rPr>
        <w:rFonts w:ascii="Arial" w:cs="Arial" w:eastAsia="Arial" w:hAnsi="Arial"/>
        <w:color w:val="5A6B7A"/>
        <w:sz w:val="18"/>
        <w:szCs w:val="18"/>
      </w:rPr>
      <w:t xml:space="preserve">Vaani Platform Blueprint  |  Confidential  |  Page </w:t>
    </w:r>
    <w:r>
      <w:rPr>
        <w:rFonts w:ascii="Arial" w:cs="Arial" w:eastAsia="Arial" w:hAnsi="Arial"/>
        <w:color w:val="5A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A6E" w:sz="4" w:space="4"/>
      </w:pBdr>
      <w:spacing w:after="0"/>
    </w:pPr>
    <w:r>
      <w:rPr>
        <w:rFonts w:ascii="Arial" w:cs="Arial" w:eastAsia="Arial" w:hAnsi="Arial"/>
        <w:b/>
        <w:bCs/>
        <w:color w:val="007A6E"/>
        <w:sz w:val="18"/>
        <w:szCs w:val="18"/>
      </w:rPr>
      <w:t xml:space="preserve">VAANI — Indian Equity Intelligence Platform</w:t>
    </w:r>
    <w:r>
      <w:rPr>
        <w:rFonts w:ascii="Arial" w:cs="Arial" w:eastAsia="Arial" w:hAnsi="Arial"/>
        <w:color w:val="5A6B7A"/>
        <w:sz w:val="18"/>
        <w:szCs w:val="18"/>
      </w:rPr>
      <w:t xml:space="preserve">  |  CONFIDENTIAL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2B45"/>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7A6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2B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2026-03-12T13:24:34.658Z</dcterms:created>
  <dcterms:modified xsi:type="dcterms:W3CDTF">2026-03-12T13:24:34.659Z</dcterms:modified>
</cp:coreProperties>
</file>

<file path=docProps/custom.xml><?xml version="1.0" encoding="utf-8"?>
<Properties xmlns="http://schemas.openxmlformats.org/officeDocument/2006/custom-properties" xmlns:vt="http://schemas.openxmlformats.org/officeDocument/2006/docPropsVTypes"/>
</file>