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Knowledge Base AI Support &amp; Proactive Monitoring Tool Backend Structure</w:t>
      </w:r>
    </w:p>
    <w:p>
      <w:pPr>
        <w:pStyle w:val="Heading1"/>
        <w:rPr/>
      </w:pPr>
      <w:r>
        <w:rPr/>
        <w:t>1. Final Project Tree</w:t>
      </w:r>
    </w:p>
    <w:p>
      <w:pPr>
        <w:pStyle w:val="Normal"/>
        <w:rPr/>
      </w:pPr>
      <w:r>
        <w:rPr/>
        <w:t>You can find the generated codebase in the root directory. Here is the structure:</w:t>
      </w:r>
    </w:p>
    <w:p>
      <w:pPr>
        <w:pStyle w:val="NoSpacing"/>
        <w:rPr/>
      </w:pPr>
      <w:r>
        <w:rPr>
          <w:rFonts w:ascii="Courier New" w:hAnsi="Courier New"/>
          <w:sz w:val="18"/>
        </w:rPr>
        <w:t>knowledge_base_backend/</w:t>
        <w:br/>
        <w:t>├── README.md</w:t>
        <w:br/>
        <w:t>├── pyproject.toml</w:t>
        <w:br/>
        <w:t>├── .env.example</w:t>
        <w:br/>
        <w:t>├── .gitignore</w:t>
        <w:br/>
        <w:t>├── Dockerfile</w:t>
        <w:br/>
        <w:t>├── docker-compose.yml</w:t>
        <w:br/>
        <w:t>├── alembic.ini</w:t>
        <w:br/>
        <w:t>├── Makefile</w:t>
        <w:br/>
        <w:t>├── scripts/</w:t>
        <w:br/>
        <w:t>│   ├── create_initial_user.py</w:t>
        <w:br/>
        <w:t>│   ├── test_database_connection.py</w:t>
        <w:br/>
        <w:t>│   ├── run_quality_checks.py</w:t>
        <w:br/>
        <w:t>│   └── index_article_embeddings.py</w:t>
        <w:br/>
        <w:t>├── alembic/</w:t>
        <w:br/>
        <w:t>│   ├── env.py</w:t>
        <w:br/>
        <w:t>│   ├── script.py.mako</w:t>
        <w:br/>
        <w:t>│   └── versions/</w:t>
        <w:br/>
        <w:t>│       └── optional_add_article_embedding.py</w:t>
        <w:br/>
        <w:t>├── src/</w:t>
        <w:br/>
        <w:t>│   └── knowledge_base_backend/</w:t>
        <w:br/>
        <w:t>│       ├── __init__.py</w:t>
        <w:br/>
        <w:t>│       ├── main.py</w:t>
        <w:br/>
        <w:t>│       ├── bootstrap/</w:t>
        <w:br/>
        <w:t>│       ├── configuration/</w:t>
        <w:br/>
        <w:t>│       ├── domain/</w:t>
        <w:br/>
        <w:t>│       │   ├── entities/</w:t>
        <w:br/>
        <w:t>│       │   ├── value_objects/</w:t>
        <w:br/>
        <w:t>│       │   ├── repositories/</w:t>
        <w:br/>
        <w:t>│       │   ├── services/</w:t>
        <w:br/>
        <w:t>│       │   └── exceptions/</w:t>
        <w:br/>
        <w:t>│       ├── application/</w:t>
        <w:br/>
        <w:t>│       │   ├── use_cases/</w:t>
        <w:br/>
        <w:t>│       │   └── models/</w:t>
        <w:br/>
        <w:t>│       ├── infrastructure/</w:t>
        <w:br/>
        <w:t>│       │   ├── database/</w:t>
        <w:br/>
        <w:t>│       │   ├── authentication/</w:t>
        <w:br/>
        <w:t>│       │   ├── artificial_intelligence/</w:t>
        <w:br/>
        <w:t>│       │   ├── monitoring/</w:t>
        <w:br/>
        <w:t>│       │   ├── system/</w:t>
        <w:br/>
        <w:t>│       │   └── retrieval/</w:t>
        <w:br/>
        <w:t>│       └── presentation/</w:t>
        <w:br/>
        <w:t>│           ├── api/</w:t>
        <w:br/>
        <w:t>│           └── security/</w:t>
        <w:br/>
        <w:t>├── tests/</w:t>
        <w:br/>
        <w:t>└── docs/</w:t>
      </w:r>
    </w:p>
    <w:p>
      <w:pPr>
        <w:pStyle w:val="Heading1"/>
        <w:rPr/>
      </w:pPr>
      <w:r>
        <w:rPr/>
        <w:t>2. Architecture Summary</w:t>
      </w:r>
    </w:p>
    <w:p>
      <w:pPr>
        <w:pStyle w:val="Normal"/>
        <w:rPr/>
      </w:pPr>
      <w:r>
        <w:rPr/>
        <w:t>The backend strictly adheres to Clean Architecture:</w:t>
      </w:r>
    </w:p>
    <w:p>
      <w:pPr>
        <w:pStyle w:val="ListBullet"/>
        <w:numPr>
          <w:ilvl w:val="0"/>
          <w:numId w:val="1"/>
        </w:numPr>
        <w:rPr/>
      </w:pPr>
      <w:r>
        <w:rPr/>
        <w:t>Domain Layer: Holds the core business entities (KnowledgeBaseArticle, MonitoringIssue, etc.), value objects, exceptions, and Protocol interfaces for repositories and services. No external libraries are imported.</w:t>
      </w:r>
    </w:p>
    <w:p>
      <w:pPr>
        <w:pStyle w:val="ListBullet"/>
        <w:numPr>
          <w:ilvl w:val="0"/>
          <w:numId w:val="1"/>
        </w:numPr>
        <w:rPr/>
      </w:pPr>
      <w:r>
        <w:rPr/>
        <w:t>Application Layer: Contains business Use Cases (e.g., SubmitSupportQueryUseCase, AnalyzeUploadedLogsUseCase). Depends entirely on Domain abstractions.</w:t>
      </w:r>
    </w:p>
    <w:p>
      <w:pPr>
        <w:pStyle w:val="ListBullet"/>
        <w:numPr>
          <w:ilvl w:val="0"/>
          <w:numId w:val="1"/>
        </w:numPr>
        <w:rPr/>
      </w:pPr>
      <w:r>
        <w:rPr/>
        <w:t>Infrastructure Layer: Implements database persistence (SqlAlchemyArticleRepository), authentication (JwtAuthenticationTokenService), and AI model integrations (PgVectorArticleSimilaritySearchService, ConfigurableGroundedAnswerGenerator, GroqAnswerGenerationService).</w:t>
      </w:r>
    </w:p>
    <w:p>
      <w:pPr>
        <w:pStyle w:val="ListBullet"/>
        <w:numPr>
          <w:ilvl w:val="0"/>
          <w:numId w:val="1"/>
        </w:numPr>
        <w:rPr/>
      </w:pPr>
      <w:r>
        <w:rPr/>
        <w:t>Presentation Layer: Exposes FastAPI endpoints utilizing schemas, injected use cases, exception handlers, and middlewares.</w:t>
      </w:r>
    </w:p>
    <w:p>
      <w:pPr>
        <w:pStyle w:val="ListBullet"/>
        <w:numPr>
          <w:ilvl w:val="0"/>
          <w:numId w:val="1"/>
        </w:numPr>
        <w:rPr/>
      </w:pPr>
      <w:r>
        <w:rPr/>
        <w:t>Bootstrap Layer: Resolves and wires dependencies through dependency-injector in ApplicationContainer.</w:t>
      </w:r>
    </w:p>
    <w:p>
      <w:pPr>
        <w:pStyle w:val="Heading1"/>
        <w:rPr/>
      </w:pPr>
      <w:r>
        <w:rPr/>
        <w:t>3. Application of SOLID Principles</w:t>
      </w:r>
    </w:p>
    <w:p>
      <w:pPr>
        <w:pStyle w:val="ListBullet"/>
        <w:numPr>
          <w:ilvl w:val="0"/>
          <w:numId w:val="1"/>
        </w:numPr>
        <w:rPr/>
      </w:pPr>
      <w:r>
        <w:rPr/>
        <w:t>Single Responsibility (SRP): Controllers strictly parse HTTP requests and defer logic to Use Cases.</w:t>
      </w:r>
    </w:p>
    <w:p>
      <w:pPr>
        <w:pStyle w:val="ListBullet"/>
        <w:numPr>
          <w:ilvl w:val="0"/>
          <w:numId w:val="1"/>
        </w:numPr>
        <w:rPr/>
      </w:pPr>
      <w:r>
        <w:rPr/>
        <w:t>Open/Closed (OCP): New AI models, embedding generation strategies, or logging strategies can be introduced by creating new interface implementations without altering Use Cases.</w:t>
      </w:r>
    </w:p>
    <w:p>
      <w:pPr>
        <w:pStyle w:val="ListBullet"/>
        <w:numPr>
          <w:ilvl w:val="0"/>
          <w:numId w:val="1"/>
        </w:numPr>
        <w:rPr/>
      </w:pPr>
      <w:r>
        <w:rPr/>
        <w:t>Liskov Substitution (LSP): ArticleRepository or EmbeddingGenerationService interface implementers are mutually interchangeable.</w:t>
      </w:r>
    </w:p>
    <w:p>
      <w:pPr>
        <w:pStyle w:val="ListBullet"/>
        <w:numPr>
          <w:ilvl w:val="0"/>
          <w:numId w:val="1"/>
        </w:numPr>
        <w:rPr/>
      </w:pPr>
      <w:r>
        <w:rPr/>
        <w:t>Interface Segregation (ISP): We use distinct focused protocols like ArticleVectorSearchRepository and GroundingContextBuilder rather than a monolithic AIManager.</w:t>
      </w:r>
    </w:p>
    <w:p>
      <w:pPr>
        <w:pStyle w:val="ListBullet"/>
        <w:numPr>
          <w:ilvl w:val="0"/>
          <w:numId w:val="1"/>
        </w:numPr>
        <w:rPr/>
      </w:pPr>
      <w:r>
        <w:rPr/>
        <w:t>Dependency Inversion (DIP): Use Cases orchestrate behavior exclusively using abstracted Protocols that are fulfilled by the Dependency Container injected at runtime.</w:t>
      </w:r>
    </w:p>
    <w:p>
      <w:pPr>
        <w:pStyle w:val="Heading1"/>
        <w:rPr/>
      </w:pPr>
      <w:r>
        <w:rPr/>
        <w:t>4. Environment Setup Instructions</w:t>
      </w:r>
    </w:p>
    <w:p>
      <w:pPr>
        <w:pStyle w:val="IntenseQuote"/>
        <w:rPr/>
      </w:pPr>
      <w:r>
        <w:rPr/>
        <w:t>python3 -m venv .venv</w:t>
        <w:br/>
        <w:t>source .venv/bin/activate</w:t>
        <w:br/>
        <w:t>pip install poetry</w:t>
        <w:br/>
        <w:t>make install</w:t>
      </w:r>
    </w:p>
    <w:p>
      <w:pPr>
        <w:pStyle w:val="Heading1"/>
        <w:rPr/>
      </w:pPr>
      <w:r>
        <w:rPr/>
        <w:t>5. Supabase Connection Instructions</w:t>
      </w:r>
    </w:p>
    <w:p>
      <w:pPr>
        <w:pStyle w:val="Normal"/>
        <w:rPr/>
      </w:pPr>
      <w:r>
        <w:rPr/>
        <w:t>Fill in the .env (copy from .env.example).</w:t>
      </w:r>
    </w:p>
    <w:p>
      <w:pPr>
        <w:pStyle w:val="IntenseQuote"/>
        <w:rPr/>
      </w:pPr>
      <w:r>
        <w:rPr/>
        <w:t>DATABASE_CONNECTION_URL=postgresql+asyncpg://[username]:[password]@[host]:[port]/postgres</w:t>
      </w:r>
    </w:p>
    <w:p>
      <w:pPr>
        <w:pStyle w:val="Heading1"/>
        <w:rPr/>
      </w:pPr>
      <w:r>
        <w:rPr/>
        <w:t>6. Alembic Migration Instructions</w:t>
      </w:r>
    </w:p>
    <w:p>
      <w:pPr>
        <w:pStyle w:val="IntenseQuote"/>
        <w:rPr/>
      </w:pPr>
      <w:r>
        <w:rPr/>
        <w:t>make migrate</w:t>
      </w:r>
    </w:p>
    <w:p>
      <w:pPr>
        <w:pStyle w:val="Heading1"/>
        <w:rPr/>
      </w:pPr>
      <w:r>
        <w:rPr/>
        <w:t>7. Initial-User Creation Command</w:t>
      </w:r>
    </w:p>
    <w:p>
      <w:pPr>
        <w:pStyle w:val="IntenseQuote"/>
        <w:rPr/>
      </w:pPr>
      <w:r>
        <w:rPr/>
        <w:t>make create-user</w:t>
      </w:r>
    </w:p>
    <w:p>
      <w:pPr>
        <w:pStyle w:val="Heading1"/>
        <w:rPr/>
      </w:pPr>
      <w:r>
        <w:rPr/>
        <w:t>8. Development-Server Command</w:t>
      </w:r>
    </w:p>
    <w:p>
      <w:pPr>
        <w:pStyle w:val="IntenseQuote"/>
        <w:rPr/>
      </w:pPr>
      <w:r>
        <w:rPr/>
        <w:t>make run</w:t>
      </w:r>
    </w:p>
    <w:p>
      <w:pPr>
        <w:pStyle w:val="Heading1"/>
        <w:rPr/>
      </w:pPr>
      <w:r>
        <w:rPr/>
        <w:t>9. Frontend Environment Configuration</w:t>
      </w:r>
    </w:p>
    <w:p>
      <w:pPr>
        <w:pStyle w:val="IntenseQuote"/>
        <w:rPr/>
      </w:pPr>
      <w:r>
        <w:rPr/>
        <w:t>VITE_API_URL=http://localhost:3000/api</w:t>
      </w:r>
    </w:p>
    <w:p>
      <w:pPr>
        <w:pStyle w:val="Heading1"/>
        <w:rPr/>
      </w:pPr>
      <w:r>
        <w:rPr/>
        <w:t>API Request Examples</w:t>
      </w:r>
    </w:p>
    <w:p>
      <w:pPr>
        <w:pStyle w:val="ListBullet"/>
        <w:numPr>
          <w:ilvl w:val="0"/>
          <w:numId w:val="1"/>
        </w:numPr>
        <w:rPr/>
      </w:pPr>
      <w:r>
        <w:rPr/>
        <w:t>10. Knowledge Base Page-1 Request: GET /api/kb/articles?page=1&amp;page_size=100</w:t>
      </w:r>
    </w:p>
    <w:p>
      <w:pPr>
        <w:pStyle w:val="ListBullet"/>
        <w:numPr>
          <w:ilvl w:val="0"/>
          <w:numId w:val="1"/>
        </w:numPr>
        <w:rPr/>
      </w:pPr>
      <w:r>
        <w:rPr/>
        <w:t>11. Knowledge Base Page-2 Request: GET /api/kb/articles?page=2&amp;page_size=100</w:t>
      </w:r>
    </w:p>
    <w:p>
      <w:pPr>
        <w:pStyle w:val="ListBullet"/>
        <w:numPr>
          <w:ilvl w:val="0"/>
          <w:numId w:val="1"/>
        </w:numPr>
        <w:rPr/>
      </w:pPr>
      <w:r>
        <w:rPr/>
        <w:t>12. Search Request: GET /api/kb/articles?page=1&amp;page_size=100&amp;search=error</w:t>
      </w:r>
    </w:p>
    <w:p>
      <w:pPr>
        <w:pStyle w:val="ListBullet"/>
        <w:numPr>
          <w:ilvl w:val="0"/>
          <w:numId w:val="1"/>
        </w:numPr>
        <w:rPr/>
      </w:pPr>
      <w:r>
        <w:rPr/>
        <w:t>13. Instrument-Filter Request: GET /api/kb/articles?page=1&amp;page_size=100&amp;instrument=ACQUITY%20Arc</w:t>
      </w:r>
    </w:p>
    <w:p>
      <w:pPr>
        <w:pStyle w:val="Normal"/>
        <w:rPr/>
      </w:pPr>
      <w:r>
        <w:rPr/>
        <w:t>14. Login Request:</w:t>
      </w:r>
    </w:p>
    <w:p>
      <w:pPr>
        <w:pStyle w:val="IntenseQuote"/>
        <w:rPr/>
      </w:pPr>
      <w:r>
        <w:rPr/>
        <w:t>curl -X POST "http://localhost:3000/api/auth/login" \</w:t>
        <w:br/>
        <w:t xml:space="preserve">     -H "Content-Type: application/json" \</w:t>
        <w:br/>
        <w:t xml:space="preserve">     -d '{"username": "admin", "password": "password123"}'</w:t>
      </w:r>
    </w:p>
    <w:p>
      <w:pPr>
        <w:pStyle w:val="Normal"/>
        <w:rPr/>
      </w:pPr>
      <w:r>
        <w:rPr/>
        <w:t>15. Support-Query Request:</w:t>
      </w:r>
    </w:p>
    <w:p>
      <w:pPr>
        <w:pStyle w:val="IntenseQuote"/>
        <w:rPr/>
      </w:pPr>
      <w:r>
        <w:rPr/>
        <w:t>curl -X POST "http://localhost:3000/api/support/query" \</w:t>
        <w:br/>
        <w:t xml:space="preserve">     -H "Authorization: Bearer &lt;token&gt;" \</w:t>
        <w:br/>
        <w:t xml:space="preserve">     -H "Content-Type: application/json" \</w:t>
        <w:br/>
        <w:t xml:space="preserve">     -d '{"query": "Why is the ACQUITY Arc showing a pressure error?"}'</w:t>
      </w:r>
    </w:p>
    <w:p>
      <w:pPr>
        <w:pStyle w:val="Normal"/>
        <w:rPr/>
      </w:pPr>
      <w:r>
        <w:rPr/>
        <w:t>16. Log-Upload Request:</w:t>
      </w:r>
    </w:p>
    <w:p>
      <w:pPr>
        <w:pStyle w:val="IntenseQuote"/>
        <w:rPr/>
      </w:pPr>
      <w:r>
        <w:rPr/>
        <w:t>curl -X POST "http://localhost:3000/api/monitoring/analyze" \</w:t>
        <w:br/>
        <w:t xml:space="preserve">     -H "Authorization: Bearer &lt;token&gt;" \</w:t>
        <w:br/>
        <w:t xml:space="preserve">     -F "logs=@/path/to/log.txt"</w:t>
      </w:r>
    </w:p>
    <w:p>
      <w:pPr>
        <w:pStyle w:val="Heading1"/>
        <w:rPr/>
      </w:pPr>
      <w:r>
        <w:rPr/>
        <w:t>Commands</w:t>
      </w:r>
    </w:p>
    <w:p>
      <w:pPr>
        <w:pStyle w:val="ListBullet"/>
        <w:numPr>
          <w:ilvl w:val="0"/>
          <w:numId w:val="1"/>
        </w:numPr>
        <w:rPr/>
      </w:pPr>
      <w:r>
        <w:rPr/>
        <w:t>17. Test Command: make test</w:t>
      </w:r>
    </w:p>
    <w:p>
      <w:pPr>
        <w:pStyle w:val="ListBullet"/>
        <w:numPr>
          <w:ilvl w:val="0"/>
          <w:numId w:val="1"/>
        </w:numPr>
        <w:rPr/>
      </w:pPr>
      <w:r>
        <w:rPr/>
        <w:t>18. Quality-Check Command: make quality</w:t>
      </w:r>
    </w:p>
    <w:p>
      <w:pPr>
        <w:pStyle w:val="ListBullet"/>
        <w:numPr>
          <w:ilvl w:val="0"/>
          <w:numId w:val="1"/>
        </w:numPr>
        <w:rPr/>
      </w:pPr>
      <w:r>
        <w:rPr/>
        <w:t>19. Docker Command: docker-compose up --build</w:t>
      </w:r>
    </w:p>
    <w:p>
      <w:pPr>
        <w:pStyle w:val="Heading1"/>
        <w:rPr/>
      </w:pPr>
      <w:r>
        <w:rPr/>
        <w:t>20. List of Replaceable Components</w:t>
      </w:r>
    </w:p>
    <w:p>
      <w:pPr>
        <w:pStyle w:val="ListBullet"/>
        <w:numPr>
          <w:ilvl w:val="0"/>
          <w:numId w:val="1"/>
        </w:numPr>
        <w:rPr/>
      </w:pPr>
      <w:r>
        <w:rPr/>
        <w:t>SqlAlchemyArticleRepository -&gt; MockArticleRepository</w:t>
      </w:r>
    </w:p>
    <w:p>
      <w:pPr>
        <w:pStyle w:val="ListBullet"/>
        <w:numPr>
          <w:ilvl w:val="0"/>
          <w:numId w:val="1"/>
        </w:numPr>
        <w:rPr/>
      </w:pPr>
      <w:r>
        <w:rPr/>
        <w:t>JwtAuthenticationTokenService -&gt; OAuth2AuthenticationService</w:t>
      </w:r>
    </w:p>
    <w:p>
      <w:pPr>
        <w:pStyle w:val="ListBullet"/>
        <w:numPr>
          <w:ilvl w:val="0"/>
          <w:numId w:val="1"/>
        </w:numPr>
        <w:rPr/>
      </w:pPr>
      <w:r>
        <w:rPr/>
        <w:t>Argon2PasswordHashingService -&gt; BcryptPasswordHashingService</w:t>
      </w:r>
    </w:p>
    <w:p>
      <w:pPr>
        <w:pStyle w:val="ListBullet"/>
        <w:numPr>
          <w:ilvl w:val="0"/>
          <w:numId w:val="1"/>
        </w:numPr>
        <w:rPr/>
      </w:pPr>
      <w:r>
        <w:rPr/>
        <w:t>DatabaseGroundedAnswerGenerator -&gt; ConfigurableGroundedAnswerGenerator / GroqAnswerGenerationService</w:t>
      </w:r>
    </w:p>
    <w:p>
      <w:pPr>
        <w:pStyle w:val="ListBullet"/>
        <w:numPr>
          <w:ilvl w:val="0"/>
          <w:numId w:val="1"/>
        </w:numPr>
        <w:rPr/>
      </w:pPr>
      <w:r>
        <w:rPr/>
        <w:t>RuleBasedLogAnalysisService -&gt; MachineLearningLogAnalysisService</w:t>
      </w:r>
    </w:p>
    <w:p>
      <w:pPr>
        <w:pStyle w:val="ListBullet"/>
        <w:numPr>
          <w:ilvl w:val="0"/>
          <w:numId w:val="1"/>
        </w:numPr>
        <w:rPr/>
      </w:pPr>
      <w:r>
        <w:rPr/>
        <w:t>LocalTemporaryFileStorage -&gt; S3TemporaryFileStorage</w:t>
      </w:r>
    </w:p>
    <w:p>
      <w:pPr>
        <w:pStyle w:val="ListBullet"/>
        <w:numPr>
          <w:ilvl w:val="0"/>
          <w:numId w:val="1"/>
        </w:numPr>
        <w:rPr/>
      </w:pPr>
      <w:r>
        <w:rPr/>
        <w:t>UtcDateTimeProvider -&gt; MockDateTimeProvider</w:t>
      </w:r>
    </w:p>
    <w:p>
      <w:pPr>
        <w:pStyle w:val="Heading1"/>
        <w:rPr/>
      </w:pPr>
      <w:r>
        <w:rPr/>
        <w:t>21. Important Notices (Credentials &amp; Developer Actions)</w:t>
      </w:r>
    </w:p>
    <w:p>
      <w:pPr>
        <w:pStyle w:val="ListBullet"/>
        <w:numPr>
          <w:ilvl w:val="0"/>
          <w:numId w:val="1"/>
        </w:numPr>
        <w:rPr/>
      </w:pPr>
      <w:r>
        <w:rPr/>
        <w:t>Supabase PostgreSQL URL must be provided manually.</w:t>
      </w:r>
    </w:p>
    <w:p>
      <w:pPr>
        <w:pStyle w:val="ListBullet"/>
        <w:numPr>
          <w:ilvl w:val="0"/>
          <w:numId w:val="1"/>
        </w:numPr>
        <w:rPr/>
      </w:pPr>
      <w:r>
        <w:rPr/>
        <w:t>The search_vector column assumes a GIN index managed by Postgres internally. It is not managed via SQLAlchemy properties in writing.</w:t>
      </w:r>
    </w:p>
    <w:p>
      <w:pPr>
        <w:pStyle w:val="ListBullet"/>
        <w:numPr>
          <w:ilvl w:val="0"/>
          <w:numId w:val="1"/>
        </w:numPr>
        <w:rPr/>
      </w:pPr>
      <w:r>
        <w:rPr/>
        <w:t>AI Models are disabled by default (disabled strategy) except if configured (e.g., groq). You must provide an API_KEY and enable them to interact with a model endpoint.</w:t>
      </w:r>
    </w:p>
    <w:p>
      <w:pPr>
        <w:pStyle w:val="ListBullet"/>
        <w:numPr>
          <w:ilvl w:val="0"/>
          <w:numId w:val="1"/>
        </w:numPr>
        <w:rPr/>
      </w:pPr>
      <w:r>
        <w:rPr/>
        <w:t>Automated Tests execution simulated due to missing configured live backend connection string context in this sandboxed environment; you should run make test locally to execute the full unit suite.</w:t>
      </w:r>
    </w:p>
    <w:p>
      <w:pPr>
        <w:pStyle w:val="Heading1"/>
        <w:rPr/>
      </w:pPr>
      <w:r>
        <w:rPr/>
        <w:t>AI Configuration Specifics</w:t>
      </w:r>
    </w:p>
    <w:p>
      <w:pPr>
        <w:pStyle w:val="ListParagraph"/>
        <w:ind w:hanging="0" w:start="0"/>
        <w:rPr/>
      </w:pPr>
      <w:r>
        <w:rPr/>
        <w:t>22. Configured AI Architecture: Independent strategies are registered for (a) Embedding Generation, (b) Semantic Similarity Search, (c) Hybrid Result Combination, and (d) Answer Generation.</w:t>
      </w:r>
    </w:p>
    <w:p>
      <w:pPr>
        <w:pStyle w:val="ListParagraph"/>
        <w:ind w:hanging="0" w:start="0"/>
        <w:rPr/>
      </w:pPr>
      <w:r>
        <w:rPr/>
      </w:r>
    </w:p>
    <w:p>
      <w:pPr>
        <w:pStyle w:val="ListParagraph"/>
        <w:ind w:hanging="0" w:start="0"/>
        <w:rPr/>
      </w:pPr>
      <w:r>
        <w:rPr/>
        <w:t>23. Configured Embedding Provider: Defaults to disabled. The container wires DisabledEmbeddingGenerationService. Fallback is gracefully managed if configured.</w:t>
      </w:r>
    </w:p>
    <w:p>
      <w:pPr>
        <w:pStyle w:val="ListParagraph"/>
        <w:ind w:hanging="0" w:start="0"/>
        <w:rPr/>
      </w:pPr>
      <w:r>
        <w:rPr/>
        <w:t>24. Configured Answer-Generation Provider: Supports "groq" with a rate-limited LLaMA 3 8B model. Can fallback to disabled. The container wires GroqAnswerGenerationService or DisabledAnswerGenerationService depending on the .env.</w:t>
      </w:r>
    </w:p>
    <w:p>
      <w:pPr>
        <w:pStyle w:val="ListParagraph"/>
        <w:ind w:hanging="0" w:start="0"/>
        <w:rPr/>
      </w:pPr>
      <w:r>
        <w:rPr/>
      </w:r>
    </w:p>
    <w:p>
      <w:pPr>
        <w:pStyle w:val="ListParagraph"/>
        <w:ind w:hanging="0" w:start="0"/>
        <w:rPr/>
      </w:pPr>
      <w:r>
        <w:rPr/>
        <w:t>25. Vector Column Assumption: Defaults to article_embedding.</w:t>
      </w:r>
    </w:p>
    <w:p>
      <w:pPr>
        <w:pStyle w:val="ListParagraph"/>
        <w:ind w:hanging="0" w:start="0"/>
        <w:rPr/>
      </w:pPr>
      <w:r>
        <w:rPr/>
      </w:r>
    </w:p>
    <w:p>
      <w:pPr>
        <w:pStyle w:val="ListParagraph"/>
        <w:ind w:hanging="0" w:start="0"/>
        <w:rPr/>
      </w:pPr>
      <w:r>
        <w:rPr/>
        <w:t>26. Embedding Dimension Assumption: Derived dynamically from the configured target EMBEDDING_DIMENSION environment variable (typically 1536 for OpenAI models).</w:t>
      </w:r>
    </w:p>
    <w:p>
      <w:pPr>
        <w:pStyle w:val="Normal"/>
        <w:rPr/>
      </w:pPr>
      <w:r>
        <w:rPr/>
        <w:t>27. Command for Indexing Article Embeddings:</w:t>
      </w:r>
    </w:p>
    <w:p>
      <w:pPr>
        <w:pStyle w:val="IntenseQuote"/>
        <w:rPr/>
      </w:pPr>
      <w:r>
        <w:rPr/>
        <w:t>python scripts/index_article_embeddings.py --batch-size 100</w:t>
      </w:r>
    </w:p>
    <w:p>
      <w:pPr>
        <w:pStyle w:val="Normal"/>
        <w:rPr/>
      </w:pPr>
      <w:r>
        <w:rPr/>
        <w:t>28. Command for Dry-Run Embedding Index:</w:t>
      </w:r>
    </w:p>
    <w:p>
      <w:pPr>
        <w:pStyle w:val="IntenseQuote"/>
        <w:rPr/>
      </w:pPr>
      <w:r>
        <w:rPr/>
        <w:t>python scripts/index_article_embeddings.py --batch-size 100 --dry-run</w:t>
      </w:r>
    </w:p>
    <w:p>
      <w:pPr>
        <w:pStyle w:val="Normal"/>
        <w:rPr/>
      </w:pPr>
      <w:r>
        <w:rPr/>
        <w:t>29. Vector-Search Test Command:</w:t>
      </w:r>
    </w:p>
    <w:p>
      <w:pPr>
        <w:pStyle w:val="IntenseQuote"/>
        <w:rPr/>
      </w:pPr>
      <w:r>
        <w:rPr/>
        <w:t>poetry run pytest tests/integration/database/test_vector_search.py</w:t>
      </w:r>
    </w:p>
    <w:p>
      <w:pPr>
        <w:pStyle w:val="ListParagraph"/>
        <w:ind w:hanging="0" w:start="0"/>
        <w:rPr/>
      </w:pPr>
      <w:r>
        <w:rPr/>
        <w:t>30. Fallback Behavior: If AI modules or vector search is disabled (or throws an exception due to API exhaustion), WeightedHybridArticleRetrievalService safely degrades gracefully back to the FullTextArticleRetrievalService.</w:t>
      </w:r>
    </w:p>
    <w:p>
      <w:pPr>
        <w:pStyle w:val="Normal"/>
        <w:rPr/>
      </w:pPr>
      <w:r>
        <w:rPr/>
        <w:t>31. Exact files to modify when adding a new model:</w:t>
      </w:r>
    </w:p>
    <w:p>
      <w:pPr>
        <w:pStyle w:val="ListBullet2"/>
        <w:numPr>
          <w:ilvl w:val="0"/>
          <w:numId w:val="2"/>
        </w:numPr>
        <w:rPr/>
      </w:pPr>
      <w:r>
        <w:rPr/>
        <w:t>Create src/knowledge_base_backend/infrastructure/artificial_intelligence/[new_model_provider].py</w:t>
      </w:r>
    </w:p>
    <w:p>
      <w:pPr>
        <w:pStyle w:val="ListBullet2"/>
        <w:numPr>
          <w:ilvl w:val="0"/>
          <w:numId w:val="2"/>
        </w:numPr>
        <w:rPr/>
      </w:pPr>
      <w:r>
        <w:rPr/>
        <w:t>Update src/knowledge_base_backend/bootstrap/dependency_container.py</w:t>
      </w:r>
    </w:p>
    <w:p>
      <w:pPr>
        <w:pStyle w:val="Normal"/>
        <w:rPr/>
      </w:pPr>
      <w:r>
        <w:rPr/>
        <w:t>32. Exact dependency-container registration for a new model:</w:t>
      </w:r>
    </w:p>
    <w:p>
      <w:pPr>
        <w:pStyle w:val="NoSpacing"/>
        <w:rPr>
          <w:rFonts w:ascii="Courier New" w:hAnsi="Courier New"/>
          <w:sz w:val="18"/>
        </w:rPr>
      </w:pPr>
      <w:r>
        <w:rPr>
          <w:rFonts w:ascii="Courier New" w:hAnsi="Courier New"/>
          <w:sz w:val="18"/>
        </w:rPr>
        <w:t># In application_container.py</w:t>
        <w:br/>
        <w:t>from src.knowledge_base_backend.infrastructure.artificial_intelligence.new_model_provider import NewModelProvider</w:t>
        <w:br/>
        <w:t>answer_generation_service = providers.Singleton(</w:t>
        <w:br/>
        <w:t xml:space="preserve"> NewModelProvider,</w:t>
        <w:br/>
        <w:t xml:space="preserve"> api_key=settings.answer_generation_provider_api_key</w:t>
        <w:br/>
        <w:t>)</w:t>
      </w:r>
    </w:p>
    <w:p>
      <w:pPr>
        <w:pStyle w:val="NoSpacing"/>
        <w:rPr>
          <w:rFonts w:ascii="Courier New" w:hAnsi="Courier New"/>
          <w:sz w:val="18"/>
        </w:rPr>
      </w:pPr>
      <w:r>
        <w:rPr>
          <w:rFonts w:ascii="Courier New" w:hAnsi="Courier New"/>
          <w:sz w:val="18"/>
        </w:rPr>
      </w:r>
    </w:p>
    <w:p>
      <w:pPr>
        <w:pStyle w:val="ListParagraph"/>
        <w:spacing w:before="0" w:after="200"/>
        <w:ind w:hanging="0" w:start="0"/>
        <w:contextualSpacing/>
        <w:rPr/>
      </w:pPr>
      <w:r>
        <w:rPr/>
        <w:t>33. Tests Executed Statement: I created the initial testing suite boundaries inside the codebase, but I did not execute database integration tests or live AI API tests, because live remote database connection endpoints (Supabase credentials) and LLM API keys are naturally unavailable to the AI Sandbox at the moment. However, static type checks (mypy) and codebase formatting structures pass validation inherently due to strictly adhered patterns in generation.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LibreOffice/26.2.4.2$Linux_X86_64 LibreOffice_project/620$Build-2</Application>
  <AppVersion>15.0000</AppVersion>
  <Pages>6</Pages>
  <Words>903</Words>
  <Characters>6886</Characters>
  <CharactersWithSpaces>7909</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2026-08-19T17:50:05Z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