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0693" w14:textId="64362DEA" w:rsidR="00EB25CF" w:rsidRPr="00EB25CF" w:rsidRDefault="00EB25CF" w:rsidP="00EB25CF">
      <w:pPr>
        <w:ind w:firstLine="720"/>
        <w:jc w:val="center"/>
        <w:rPr>
          <w:rFonts w:ascii="Arial Rounded MT Bold" w:hAnsi="Arial Rounded MT Bold"/>
          <w:sz w:val="28"/>
          <w:szCs w:val="28"/>
        </w:rPr>
      </w:pPr>
      <w:r w:rsidRPr="00EB25CF">
        <w:rPr>
          <w:rFonts w:ascii="Arial Rounded MT Bold" w:hAnsi="Arial Rounded MT Bold"/>
          <w:sz w:val="28"/>
          <w:szCs w:val="28"/>
        </w:rPr>
        <w:t>NAME – SNEHA GUPTA</w:t>
      </w:r>
    </w:p>
    <w:p w14:paraId="5A1661DD" w14:textId="23E04F92" w:rsidR="00EB25CF" w:rsidRPr="00EB25CF" w:rsidRDefault="00EB25CF" w:rsidP="00EB25CF">
      <w:pPr>
        <w:ind w:firstLine="720"/>
        <w:jc w:val="center"/>
        <w:rPr>
          <w:rFonts w:ascii="Arial Rounded MT Bold" w:hAnsi="Arial Rounded MT Bold"/>
          <w:sz w:val="28"/>
          <w:szCs w:val="28"/>
        </w:rPr>
      </w:pPr>
      <w:r w:rsidRPr="00EB25CF">
        <w:rPr>
          <w:rFonts w:ascii="Arial Rounded MT Bold" w:hAnsi="Arial Rounded MT Bold"/>
          <w:sz w:val="28"/>
          <w:szCs w:val="28"/>
        </w:rPr>
        <w:t>Reg. no. – RA2511003010163</w:t>
      </w:r>
    </w:p>
    <w:p w14:paraId="2B7B6AE2" w14:textId="6A9172AB" w:rsidR="00EB25CF" w:rsidRDefault="00EB25CF" w:rsidP="00EB25CF">
      <w:pPr>
        <w:jc w:val="center"/>
        <w:rPr>
          <w:rFonts w:ascii="Arial Rounded MT Bold" w:hAnsi="Arial Rounded MT Bold"/>
          <w:sz w:val="28"/>
          <w:szCs w:val="28"/>
        </w:rPr>
      </w:pPr>
      <w:r w:rsidRPr="00EB25CF">
        <w:rPr>
          <w:rFonts w:ascii="Arial Rounded MT Bold" w:hAnsi="Arial Rounded MT Bold"/>
          <w:sz w:val="28"/>
          <w:szCs w:val="28"/>
        </w:rPr>
        <w:t xml:space="preserve">TOPIC - </w:t>
      </w:r>
      <w:r w:rsidRPr="00EB25CF">
        <w:rPr>
          <w:rFonts w:ascii="Arial Rounded MT Bold" w:hAnsi="Arial Rounded MT Bold"/>
          <w:sz w:val="28"/>
          <w:szCs w:val="28"/>
        </w:rPr>
        <w:t>Comparative Study: Epistemology of Engineering Design</w:t>
      </w:r>
    </w:p>
    <w:p w14:paraId="58375E0E" w14:textId="77777777" w:rsidR="00EB25CF" w:rsidRPr="00EB25CF" w:rsidRDefault="00EB25CF" w:rsidP="00EB25CF">
      <w:pPr>
        <w:jc w:val="center"/>
        <w:rPr>
          <w:rFonts w:ascii="Arial Rounded MT Bold" w:hAnsi="Arial Rounded MT Bold"/>
          <w:sz w:val="28"/>
          <w:szCs w:val="28"/>
        </w:rPr>
      </w:pPr>
    </w:p>
    <w:p w14:paraId="3E5F680C" w14:textId="5F20316D" w:rsidR="00EB25CF" w:rsidRPr="00EB25CF" w:rsidRDefault="00EB25CF" w:rsidP="00EB25CF">
      <w:pPr>
        <w:rPr>
          <w:b/>
          <w:bCs/>
        </w:rPr>
      </w:pPr>
      <w:r w:rsidRPr="00EB25CF">
        <w:rPr>
          <w:b/>
          <w:bCs/>
        </w:rPr>
        <w:t>Abstract</w:t>
      </w:r>
    </w:p>
    <w:p w14:paraId="6D276461" w14:textId="77777777" w:rsidR="00EB25CF" w:rsidRDefault="00EB25CF" w:rsidP="00EB25CF">
      <w:r>
        <w:t>This comparative study examines the epistemology of engineering design: what engineers count as knowledge, how that knowledge is produced, validated, shared, and applied across different design domains. Drawing on foundational work in design studies and philosophy of science, the report contrasts epistemic approaches used in civil/structural engineering, software engineering, and biomedical device design. The analysis highlights differences in evidence standards, the role of models and simulations, tacit knowledge and craft, ethical and socio-technical considerations, and implications for education and practice.</w:t>
      </w:r>
    </w:p>
    <w:p w14:paraId="4CB40009" w14:textId="77231CD8" w:rsidR="00EB25CF" w:rsidRDefault="00EB25CF" w:rsidP="00EB25CF"/>
    <w:p w14:paraId="2A449225" w14:textId="72EEA968" w:rsidR="00EB25CF" w:rsidRPr="00EB25CF" w:rsidRDefault="00EB25CF" w:rsidP="00EB25CF">
      <w:pPr>
        <w:rPr>
          <w:b/>
          <w:bCs/>
        </w:rPr>
      </w:pPr>
      <w:r w:rsidRPr="00EB25CF">
        <w:rPr>
          <w:b/>
          <w:bCs/>
        </w:rPr>
        <w:t>1. Introduction</w:t>
      </w:r>
    </w:p>
    <w:p w14:paraId="23A75AFA" w14:textId="77777777" w:rsidR="00EB25CF" w:rsidRDefault="00EB25CF" w:rsidP="00EB25CF">
      <w:r>
        <w:t>Engineering design is both a knowledge-producing activity and a decision-making practice. Unlike pure sciences that often seek explanatory generalizations, engineering focuses on creating artifacts under constraints: safety, cost, time, and user needs. This focus shapes what counts as knowledge. This study compares epistemic patterns across three representative domains and offers practical recommendations for educators, practitioners, and researchers.</w:t>
      </w:r>
    </w:p>
    <w:p w14:paraId="6288237B" w14:textId="5B492F09" w:rsidR="00EB25CF" w:rsidRDefault="00EB25CF" w:rsidP="00EB25CF"/>
    <w:p w14:paraId="1707FC6C" w14:textId="219E60DC" w:rsidR="00EB25CF" w:rsidRPr="00EB25CF" w:rsidRDefault="00EB25CF" w:rsidP="00EB25CF">
      <w:pPr>
        <w:rPr>
          <w:b/>
          <w:bCs/>
        </w:rPr>
      </w:pPr>
      <w:r w:rsidRPr="00EB25CF">
        <w:rPr>
          <w:b/>
          <w:bCs/>
        </w:rPr>
        <w:t>2. Key Concepts and Theoretical Background</w:t>
      </w:r>
    </w:p>
    <w:p w14:paraId="3DED3D7F" w14:textId="53F6A3AC" w:rsidR="00EB25CF" w:rsidRDefault="00EB25CF" w:rsidP="00EB25CF">
      <w:r>
        <w:t>Epistemology: study of knowledge — sources, justification, limits.</w:t>
      </w:r>
    </w:p>
    <w:p w14:paraId="76560EB3" w14:textId="37F1EFD3" w:rsidR="00EB25CF" w:rsidRDefault="00EB25CF" w:rsidP="00EB25CF">
      <w:r>
        <w:t>Design epistemology: how knowledge in design is created, validated, and used.</w:t>
      </w:r>
    </w:p>
    <w:p w14:paraId="462809C9" w14:textId="578A5289" w:rsidR="00EB25CF" w:rsidRDefault="00EB25CF" w:rsidP="00EB25CF">
      <w:r>
        <w:t>Types of knowledge: propositional (knowing-that), procedural (knowing-how), tacit/craft knowledge, experiential knowledge, model-based knowledge.</w:t>
      </w:r>
    </w:p>
    <w:p w14:paraId="090C2B5B" w14:textId="77777777" w:rsidR="00EB25CF" w:rsidRDefault="00EB25CF" w:rsidP="00EB25CF">
      <w:r>
        <w:t>Validation modes: analytical proof, empirical testing, simulation, heuristics, regulatory approval, peer review, field performance.</w:t>
      </w:r>
    </w:p>
    <w:p w14:paraId="1CE84C73" w14:textId="494E3BB2" w:rsidR="00EB25CF" w:rsidRDefault="00EB25CF" w:rsidP="00EB25CF">
      <w:r>
        <w:t>Classical influences include Herbert Simon’s view of design as problem solving, Donald Schön’s reflection-in-action (designer as reflective practitioner), and studies of design cognition emphasizing sketching, analogy, and constraint negotiation.</w:t>
      </w:r>
    </w:p>
    <w:p w14:paraId="2A8950FA" w14:textId="77777777" w:rsidR="00EB25CF" w:rsidRDefault="00EB25CF" w:rsidP="00EB25CF"/>
    <w:p w14:paraId="6ED5C521" w14:textId="19F87076" w:rsidR="00EB25CF" w:rsidRPr="00EB25CF" w:rsidRDefault="00EB25CF" w:rsidP="00EB25CF">
      <w:pPr>
        <w:rPr>
          <w:b/>
          <w:bCs/>
        </w:rPr>
      </w:pPr>
      <w:r w:rsidRPr="00EB25CF">
        <w:rPr>
          <w:b/>
          <w:bCs/>
        </w:rPr>
        <w:lastRenderedPageBreak/>
        <w:t>3. Comparative Framework</w:t>
      </w:r>
    </w:p>
    <w:p w14:paraId="042A22C9" w14:textId="6932F051" w:rsidR="00EB25CF" w:rsidRDefault="00EB25CF" w:rsidP="00EB25CF">
      <w:r>
        <w:t xml:space="preserve">To compare </w:t>
      </w:r>
      <w:proofErr w:type="gramStart"/>
      <w:r>
        <w:t>domains</w:t>
      </w:r>
      <w:proofErr w:type="gramEnd"/>
      <w:r>
        <w:t xml:space="preserve"> we use these axes:</w:t>
      </w:r>
    </w:p>
    <w:p w14:paraId="1F94430D" w14:textId="6AFF20E0" w:rsidR="00EB25CF" w:rsidRDefault="00EB25CF" w:rsidP="00EB25CF">
      <w:r>
        <w:t>1. Primary epistemic goals (safety, functionality, novelty)</w:t>
      </w:r>
    </w:p>
    <w:p w14:paraId="32C62D23" w14:textId="589D328D" w:rsidR="00EB25CF" w:rsidRDefault="00EB25CF" w:rsidP="00EB25CF">
      <w:r>
        <w:t>2. Accepted evidence and validation methods</w:t>
      </w:r>
    </w:p>
    <w:p w14:paraId="5FC14B7B" w14:textId="21A92AC2" w:rsidR="00EB25CF" w:rsidRDefault="00EB25CF" w:rsidP="00EB25CF">
      <w:r>
        <w:t>3. Role of models, simulations, and prototypes</w:t>
      </w:r>
    </w:p>
    <w:p w14:paraId="29F68E1B" w14:textId="71DA1EA7" w:rsidR="00EB25CF" w:rsidRDefault="00EB25CF" w:rsidP="00EB25CF">
      <w:r>
        <w:t>4. Importance of tacit knowledge and craft</w:t>
      </w:r>
    </w:p>
    <w:p w14:paraId="3CBF762C" w14:textId="57D6E620" w:rsidR="00EB25CF" w:rsidRDefault="00EB25CF" w:rsidP="00EB25CF">
      <w:r>
        <w:t>5. Temporal horizon and revision cycles</w:t>
      </w:r>
    </w:p>
    <w:p w14:paraId="72843037" w14:textId="6A474465" w:rsidR="00EB25CF" w:rsidRDefault="00EB25CF" w:rsidP="00EB25CF">
      <w:r>
        <w:t>6. Ethical/regulatory overlay</w:t>
      </w:r>
    </w:p>
    <w:p w14:paraId="64644EE0" w14:textId="382E6797" w:rsidR="00EB25CF" w:rsidRDefault="00EB25CF" w:rsidP="00EB25CF">
      <w:r>
        <w:t>7. Social distribution of knowledge (teams, stakeholder</w:t>
      </w:r>
      <w:r>
        <w:t>)</w:t>
      </w:r>
    </w:p>
    <w:p w14:paraId="7732E5C7" w14:textId="77777777" w:rsidR="00EB25CF" w:rsidRPr="00EB25CF" w:rsidRDefault="00EB25CF" w:rsidP="00EB25CF">
      <w:pPr>
        <w:rPr>
          <w:b/>
          <w:bCs/>
        </w:rPr>
      </w:pPr>
    </w:p>
    <w:p w14:paraId="5696B6DA" w14:textId="5CAB7DAA" w:rsidR="00EB25CF" w:rsidRDefault="00EB25CF" w:rsidP="00EB25CF">
      <w:pPr>
        <w:rPr>
          <w:b/>
          <w:bCs/>
        </w:rPr>
      </w:pPr>
      <w:r w:rsidRPr="00EB25CF">
        <w:rPr>
          <w:b/>
          <w:bCs/>
        </w:rPr>
        <w:t>4. Domain Analyses</w:t>
      </w:r>
    </w:p>
    <w:p w14:paraId="4D9CF9B9" w14:textId="77777777" w:rsidR="00EB25CF" w:rsidRPr="00EB25CF" w:rsidRDefault="00EB25CF" w:rsidP="00EB25CF">
      <w:pPr>
        <w:rPr>
          <w:b/>
          <w:bCs/>
        </w:rPr>
      </w:pPr>
    </w:p>
    <w:p w14:paraId="460B6D52" w14:textId="6748DE46" w:rsidR="00EB25CF" w:rsidRPr="00EB25CF" w:rsidRDefault="00EB25CF" w:rsidP="00EB25CF">
      <w:pPr>
        <w:rPr>
          <w:u w:val="single"/>
        </w:rPr>
      </w:pPr>
      <w:r w:rsidRPr="00EB25CF">
        <w:rPr>
          <w:u w:val="single"/>
        </w:rPr>
        <w:t>4.1 Civil/Structural Engineering</w:t>
      </w:r>
    </w:p>
    <w:p w14:paraId="7279A0AC" w14:textId="71841C23" w:rsidR="00EB25CF" w:rsidRDefault="00EB25CF" w:rsidP="00EB25CF">
      <w:r>
        <w:t>Primary goals: safety, durability, serviceability.</w:t>
      </w:r>
    </w:p>
    <w:p w14:paraId="435A210D" w14:textId="74385C74" w:rsidR="00EB25CF" w:rsidRDefault="00EB25CF" w:rsidP="00EB25CF">
      <w:r>
        <w:t>Evidence &amp; validation: rigorous analytical models (statics, dynamics), standardized codes, material testing, field inspection, probabilistic risk assessment.</w:t>
      </w:r>
    </w:p>
    <w:p w14:paraId="2C41D29E" w14:textId="313FC427" w:rsidR="00EB25CF" w:rsidRDefault="00EB25CF" w:rsidP="00EB25CF">
      <w:r>
        <w:t>Models &amp; prototypes: mathematical models and full-scale testing for critical components; prototypes less common due to scale.</w:t>
      </w:r>
    </w:p>
    <w:p w14:paraId="65400F51" w14:textId="7654E94D" w:rsidR="00EB25CF" w:rsidRDefault="00EB25CF" w:rsidP="00EB25CF">
      <w:r>
        <w:t>Tacit knowledge: substantial: experience-based judgment in site evaluation, constructability, detailing.</w:t>
      </w:r>
    </w:p>
    <w:p w14:paraId="2986F3C8" w14:textId="328726B6" w:rsidR="00EB25CF" w:rsidRDefault="00EB25CF" w:rsidP="00EB25CF">
      <w:r>
        <w:t>Regulatory context: heavy; building codes are binding epistemic standards.</w:t>
      </w:r>
    </w:p>
    <w:p w14:paraId="39431959" w14:textId="77777777" w:rsidR="00EB25CF" w:rsidRDefault="00EB25CF" w:rsidP="00EB25CF">
      <w:r>
        <w:t>Implication: Epistemology is conservative and formalized; knowledge claims require quantified safety margins and code compliance.</w:t>
      </w:r>
    </w:p>
    <w:p w14:paraId="5E302F11" w14:textId="77777777" w:rsidR="00EB25CF" w:rsidRDefault="00EB25CF" w:rsidP="00EB25CF"/>
    <w:p w14:paraId="517C52AD" w14:textId="3650D24E" w:rsidR="00EB25CF" w:rsidRPr="00EB25CF" w:rsidRDefault="00EB25CF" w:rsidP="00EB25CF">
      <w:pPr>
        <w:rPr>
          <w:u w:val="single"/>
        </w:rPr>
      </w:pPr>
      <w:r w:rsidRPr="00EB25CF">
        <w:rPr>
          <w:u w:val="single"/>
        </w:rPr>
        <w:t>4.2 Software Engineering</w:t>
      </w:r>
    </w:p>
    <w:p w14:paraId="29BF0D82" w14:textId="05E4D1C9" w:rsidR="00EB25CF" w:rsidRDefault="00EB25CF" w:rsidP="00EB25CF">
      <w:r>
        <w:t>Primary goals: correctness, performance, maintainability, user experience.</w:t>
      </w:r>
    </w:p>
    <w:p w14:paraId="2176091F" w14:textId="77777777" w:rsidR="00EB25CF" w:rsidRDefault="00EB25CF" w:rsidP="00EB25CF">
      <w:r>
        <w:t>Evidence &amp; validation: unit/integration testing, formal methods in critical systems, continuous integration, user testing, bug reports.</w:t>
      </w:r>
    </w:p>
    <w:p w14:paraId="00DBD3FB" w14:textId="77777777" w:rsidR="00EB25CF" w:rsidRDefault="00EB25CF" w:rsidP="00EB25CF">
      <w:r>
        <w:t>Models &amp; prototypes: rapid prototyping and simulations; high use of abstractions and models (UML, design patterns).</w:t>
      </w:r>
    </w:p>
    <w:p w14:paraId="402C36EB" w14:textId="0C5FE801" w:rsidR="00EB25CF" w:rsidRDefault="00EB25CF" w:rsidP="00EB25CF">
      <w:r>
        <w:lastRenderedPageBreak/>
        <w:t>Tacit knowledge: strong craft component — idiomatic coding practices, debugging heuristics, code smells.</w:t>
      </w:r>
    </w:p>
    <w:p w14:paraId="6E6BFEE0" w14:textId="56541B18" w:rsidR="00EB25CF" w:rsidRDefault="00EB25CF" w:rsidP="00EB25CF">
      <w:r>
        <w:t>Regulatory context: variable; domains like avionics or medical software are heavily regulated while many consumer apps are not.</w:t>
      </w:r>
    </w:p>
    <w:p w14:paraId="401DB69C" w14:textId="77777777" w:rsidR="00EB25CF" w:rsidRDefault="00EB25CF" w:rsidP="00EB25CF">
      <w:r>
        <w:t>Implication: Epistemology is iterative and empirical; knowledge emerges from rapid cycles of build-test-learn and from community practices.</w:t>
      </w:r>
    </w:p>
    <w:p w14:paraId="4EF3536A" w14:textId="77777777" w:rsidR="00EB25CF" w:rsidRDefault="00EB25CF" w:rsidP="00EB25CF"/>
    <w:p w14:paraId="4946A22A" w14:textId="6A3FDBA2" w:rsidR="00EB25CF" w:rsidRPr="00EB25CF" w:rsidRDefault="00EB25CF" w:rsidP="00EB25CF">
      <w:pPr>
        <w:rPr>
          <w:u w:val="single"/>
        </w:rPr>
      </w:pPr>
      <w:r w:rsidRPr="00EB25CF">
        <w:rPr>
          <w:u w:val="single"/>
        </w:rPr>
        <w:t>4.3 Biomedical Device Design</w:t>
      </w:r>
    </w:p>
    <w:p w14:paraId="54C3118E" w14:textId="73A05DEA" w:rsidR="00EB25CF" w:rsidRDefault="00EB25CF" w:rsidP="00EB25CF">
      <w:r>
        <w:t>Primary goals: safety, efficacy, biological compatibility, patient outcomes.</w:t>
      </w:r>
    </w:p>
    <w:p w14:paraId="480D1289" w14:textId="2ED9B8FC" w:rsidR="00EB25CF" w:rsidRDefault="00EB25CF" w:rsidP="00EB25CF">
      <w:r>
        <w:t>Evidence &amp; validation: preclinical testing, clinical trials, regulatory approval (e.g., FDA/CE), post-market surveillance.</w:t>
      </w:r>
    </w:p>
    <w:p w14:paraId="11A1EC90" w14:textId="719A5AEF" w:rsidR="00EB25CF" w:rsidRDefault="00EB25CF" w:rsidP="00EB25CF">
      <w:r>
        <w:t>Models &amp; prototypes: in vitro and in vivo models, computational models (finite element, bio-simulations), animal studies, human prototypes in trials.</w:t>
      </w:r>
    </w:p>
    <w:p w14:paraId="049B4D27" w14:textId="499F764A" w:rsidR="00EB25CF" w:rsidRDefault="00EB25CF" w:rsidP="00EB25CF">
      <w:r>
        <w:t>Tacit knowledge: high—surgical technique, clinician feedback, human factors expertise.</w:t>
      </w:r>
    </w:p>
    <w:p w14:paraId="6BA84FF6" w14:textId="0589CB47" w:rsidR="00EB25CF" w:rsidRDefault="00EB25CF" w:rsidP="00EB25CF">
      <w:r>
        <w:t>Regulatory context: extremely heavy; ethical review boards and standards dictate epistemic acceptability.</w:t>
      </w:r>
    </w:p>
    <w:p w14:paraId="12D76139" w14:textId="3F2DD523" w:rsidR="00EB25CF" w:rsidRDefault="00EB25CF" w:rsidP="00EB25CF">
      <w:r>
        <w:t>Implication: Epistemology is evidence-driven but constrained by human-subject research timelines; high burden of proof before deployment.</w:t>
      </w:r>
    </w:p>
    <w:p w14:paraId="6BB97F74" w14:textId="77777777" w:rsidR="00EB25CF" w:rsidRPr="00EB25CF" w:rsidRDefault="00EB25CF" w:rsidP="00EB25CF">
      <w:pPr>
        <w:rPr>
          <w:u w:val="single"/>
        </w:rPr>
      </w:pPr>
    </w:p>
    <w:p w14:paraId="3B268B9F" w14:textId="5C568744" w:rsidR="00EB25CF" w:rsidRDefault="00EB25CF" w:rsidP="00EB25CF">
      <w:pPr>
        <w:rPr>
          <w:b/>
          <w:bCs/>
        </w:rPr>
      </w:pPr>
      <w:r w:rsidRPr="00EB25CF">
        <w:rPr>
          <w:b/>
          <w:bCs/>
        </w:rPr>
        <w:t>5. Cross-domain Themes and Tensions</w:t>
      </w:r>
    </w:p>
    <w:p w14:paraId="0096505C" w14:textId="77777777" w:rsidR="00EB25CF" w:rsidRPr="00EB25CF" w:rsidRDefault="00EB25CF" w:rsidP="00EB25CF">
      <w:pPr>
        <w:rPr>
          <w:b/>
          <w:bCs/>
        </w:rPr>
      </w:pPr>
    </w:p>
    <w:p w14:paraId="198CB964" w14:textId="7E901696" w:rsidR="00EB25CF" w:rsidRDefault="00EB25CF" w:rsidP="00EB25CF">
      <w:r>
        <w:t xml:space="preserve">1. Formalization vs. Iteration: Civil engineering emphasizes formal proofs and codes; software </w:t>
      </w:r>
      <w:proofErr w:type="spellStart"/>
      <w:r>
        <w:t>favors</w:t>
      </w:r>
      <w:proofErr w:type="spellEnd"/>
      <w:r>
        <w:t xml:space="preserve"> rapid iteration; biomedical sits between, requiring formal evidence but using iterative prototyping in early phases.</w:t>
      </w:r>
    </w:p>
    <w:p w14:paraId="46B0E002" w14:textId="77777777" w:rsidR="00EB25CF" w:rsidRDefault="00EB25CF" w:rsidP="00EB25CF">
      <w:r>
        <w:t xml:space="preserve">2. Models as Authority: All domains use models, but their epistemic status differs. In civil engineering, models are often expected to be conservative and validated against codes. In software, models are tools for design but are overridden by runtime </w:t>
      </w:r>
      <w:proofErr w:type="spellStart"/>
      <w:r>
        <w:t>behavior</w:t>
      </w:r>
      <w:proofErr w:type="spellEnd"/>
      <w:r>
        <w:t xml:space="preserve"> and user feedback. In biomedical design, models are necessary but insufficient; clinical evidence is the gold standard.</w:t>
      </w:r>
    </w:p>
    <w:p w14:paraId="538FA23A" w14:textId="77777777" w:rsidR="00EB25CF" w:rsidRDefault="00EB25CF" w:rsidP="00EB25CF">
      <w:r>
        <w:t>3. Tacit Knowledge: Across domains tacit knowledge is crucial. It resists full codification but is transmitted via apprenticeship, post-implementation feedback, and standard operating procedures.</w:t>
      </w:r>
    </w:p>
    <w:p w14:paraId="74DD28AC" w14:textId="666BE07A" w:rsidR="00EB25CF" w:rsidRDefault="00EB25CF" w:rsidP="00EB25CF">
      <w:r>
        <w:lastRenderedPageBreak/>
        <w:t>4. Risk and Uncertainty Management: The threshold for acceptable uncertainty varies with stakes and reversibility. Higher stakes (human life) demand stricter epistemic processes.</w:t>
      </w:r>
    </w:p>
    <w:p w14:paraId="542FC0F3" w14:textId="77777777" w:rsidR="00EB25CF" w:rsidRDefault="00EB25CF" w:rsidP="00EB25CF">
      <w:r>
        <w:t xml:space="preserve">5. Socio-technical and Ethical Dimensions: Design knowledge is socially distributed; decisions reflect values, </w:t>
      </w:r>
      <w:proofErr w:type="spellStart"/>
      <w:r>
        <w:t>tradeoffs</w:t>
      </w:r>
      <w:proofErr w:type="spellEnd"/>
      <w:r>
        <w:t>, and regulatory frameworks. Ethical judgments are epistemic acts: what counts as evidence is often value-laden.</w:t>
      </w:r>
    </w:p>
    <w:p w14:paraId="2A3DE41B" w14:textId="5C642319" w:rsidR="00EB25CF" w:rsidRDefault="00EB25CF" w:rsidP="00EB25CF"/>
    <w:p w14:paraId="68CB9724" w14:textId="03AF69AF" w:rsidR="00EB25CF" w:rsidRPr="00EB25CF" w:rsidRDefault="00EB25CF" w:rsidP="00EB25CF">
      <w:pPr>
        <w:rPr>
          <w:b/>
          <w:bCs/>
        </w:rPr>
      </w:pPr>
      <w:r w:rsidRPr="00EB25CF">
        <w:rPr>
          <w:b/>
          <w:bCs/>
        </w:rPr>
        <w:t>6. Case Studies (short)</w:t>
      </w:r>
    </w:p>
    <w:p w14:paraId="67BD627F" w14:textId="47E84DBC" w:rsidR="00EB25CF" w:rsidRPr="00EB25CF" w:rsidRDefault="00EB25CF" w:rsidP="00EB25CF">
      <w:pPr>
        <w:rPr>
          <w:i/>
          <w:iCs/>
          <w:u w:val="single"/>
        </w:rPr>
      </w:pPr>
      <w:r w:rsidRPr="00EB25CF">
        <w:rPr>
          <w:i/>
          <w:iCs/>
          <w:u w:val="single"/>
        </w:rPr>
        <w:t>Case</w:t>
      </w:r>
      <w:r>
        <w:rPr>
          <w:i/>
          <w:iCs/>
          <w:u w:val="single"/>
        </w:rPr>
        <w:t xml:space="preserve"> </w:t>
      </w:r>
      <w:proofErr w:type="gramStart"/>
      <w:r>
        <w:rPr>
          <w:i/>
          <w:iCs/>
          <w:u w:val="single"/>
        </w:rPr>
        <w:t>A</w:t>
      </w:r>
      <w:r w:rsidRPr="00EB25CF">
        <w:rPr>
          <w:i/>
          <w:iCs/>
          <w:u w:val="single"/>
        </w:rPr>
        <w:t xml:space="preserve"> :</w:t>
      </w:r>
      <w:proofErr w:type="gramEnd"/>
      <w:r w:rsidRPr="00EB25CF">
        <w:rPr>
          <w:i/>
          <w:iCs/>
          <w:u w:val="single"/>
        </w:rPr>
        <w:t xml:space="preserve"> Bridge Retrofit (Civil)</w:t>
      </w:r>
    </w:p>
    <w:p w14:paraId="14D71062" w14:textId="7DF6A36D" w:rsidR="00EB25CF" w:rsidRDefault="00EB25CF" w:rsidP="00EB25CF">
      <w:r>
        <w:t xml:space="preserve">Epistemic steps: site survey (experience), analytical </w:t>
      </w:r>
      <w:proofErr w:type="spellStart"/>
      <w:r>
        <w:t>modeling</w:t>
      </w:r>
      <w:proofErr w:type="spellEnd"/>
      <w:r>
        <w:t>, load testing, adherence to codes, staged implementation.</w:t>
      </w:r>
    </w:p>
    <w:p w14:paraId="6C616117" w14:textId="1B47771A" w:rsidR="00EB25CF" w:rsidRDefault="00EB25CF" w:rsidP="00EB25CF">
      <w:r>
        <w:t>Knowledge validated by tests and inspections</w:t>
      </w:r>
      <w:r>
        <w:t>.</w:t>
      </w:r>
    </w:p>
    <w:p w14:paraId="3DA98C3B" w14:textId="1FB0D905" w:rsidR="00EB25CF" w:rsidRPr="00EB25CF" w:rsidRDefault="00EB25CF" w:rsidP="00EB25CF">
      <w:pPr>
        <w:rPr>
          <w:i/>
          <w:iCs/>
          <w:u w:val="single"/>
        </w:rPr>
      </w:pPr>
      <w:r w:rsidRPr="00EB25CF">
        <w:rPr>
          <w:i/>
          <w:iCs/>
          <w:u w:val="single"/>
        </w:rPr>
        <w:t>Case B: Mobile Health App (Software)</w:t>
      </w:r>
    </w:p>
    <w:p w14:paraId="3394554B" w14:textId="35FB0D00" w:rsidR="00EB25CF" w:rsidRDefault="00EB25CF" w:rsidP="00EB25CF">
      <w:r>
        <w:t>Epistemic steps: user research, prototype, A/B testing, telemetry-driven improvement.</w:t>
      </w:r>
    </w:p>
    <w:p w14:paraId="11F75BD6" w14:textId="255509E2" w:rsidR="00EB25CF" w:rsidRDefault="00EB25CF" w:rsidP="00EB25CF">
      <w:r>
        <w:t>Knowledge validated through usage data and iterative fixes.</w:t>
      </w:r>
    </w:p>
    <w:p w14:paraId="34588DCA" w14:textId="77777777" w:rsidR="00EB25CF" w:rsidRDefault="00EB25CF" w:rsidP="00EB25CF"/>
    <w:p w14:paraId="598AD27E" w14:textId="77777777" w:rsidR="00EB25CF" w:rsidRPr="00EB25CF" w:rsidRDefault="00EB25CF" w:rsidP="00EB25CF">
      <w:pPr>
        <w:rPr>
          <w:b/>
          <w:bCs/>
        </w:rPr>
      </w:pPr>
      <w:r w:rsidRPr="00EB25CF">
        <w:rPr>
          <w:b/>
          <w:bCs/>
        </w:rPr>
        <w:t>7. Implications for Education and Practice</w:t>
      </w:r>
    </w:p>
    <w:p w14:paraId="3DBA1CFE" w14:textId="77777777" w:rsidR="00EB25CF" w:rsidRDefault="00EB25CF" w:rsidP="00EB25CF"/>
    <w:p w14:paraId="49FBEC08" w14:textId="444457D9" w:rsidR="00EB25CF" w:rsidRDefault="00EB25CF" w:rsidP="00EB25CF">
      <w:r>
        <w:t>Teach mixed epistemic modes: curricula should combine formal analysis, simulation skills, rapid prototyping, and clinical/user-</w:t>
      </w:r>
      <w:proofErr w:type="spellStart"/>
      <w:r>
        <w:t>centered</w:t>
      </w:r>
      <w:proofErr w:type="spellEnd"/>
      <w:r>
        <w:t xml:space="preserve"> evaluation.</w:t>
      </w:r>
    </w:p>
    <w:p w14:paraId="2B9B8A00" w14:textId="0CEAF507" w:rsidR="00EB25CF" w:rsidRDefault="00EB25CF" w:rsidP="00EB25CF">
      <w:r>
        <w:t>Value tacit learning: projects, internships, lab rotations, and apprenticeships are essential.</w:t>
      </w:r>
    </w:p>
    <w:p w14:paraId="5F6854C4" w14:textId="2CC6D52D" w:rsidR="00EB25CF" w:rsidRDefault="00EB25CF" w:rsidP="00EB25CF">
      <w:r>
        <w:t>Explicitly teach uncertainty management: probabilistic reasoning, safety factors, risk communication.</w:t>
      </w:r>
    </w:p>
    <w:p w14:paraId="1DDF1FA9" w14:textId="50F6A077" w:rsidR="00EB25CF" w:rsidRDefault="00EB25CF" w:rsidP="00EB25CF">
      <w:r>
        <w:t>Interdisciplinary literacy: engineers must read regulatory texts, human factors, and user research.</w:t>
      </w:r>
    </w:p>
    <w:p w14:paraId="0AC74222" w14:textId="77777777" w:rsidR="00EB25CF" w:rsidRDefault="00EB25CF" w:rsidP="00EB25CF"/>
    <w:p w14:paraId="6FA0B764" w14:textId="1940D830" w:rsidR="00EB25CF" w:rsidRPr="00EB25CF" w:rsidRDefault="00EB25CF" w:rsidP="00EB25CF">
      <w:pPr>
        <w:rPr>
          <w:b/>
          <w:bCs/>
        </w:rPr>
      </w:pPr>
      <w:r w:rsidRPr="00EB25CF">
        <w:rPr>
          <w:b/>
          <w:bCs/>
        </w:rPr>
        <w:t>8. Recommendations</w:t>
      </w:r>
    </w:p>
    <w:p w14:paraId="2A3C3A2E" w14:textId="77777777" w:rsidR="00EB25CF" w:rsidRDefault="00EB25CF" w:rsidP="00EB25CF">
      <w:r>
        <w:t>1. Domain-aware validation strategy: Choose validation methods aligned to domain stakes; don’t copy-paste a single epistemic approach across domains.</w:t>
      </w:r>
    </w:p>
    <w:p w14:paraId="00C79304" w14:textId="14C37A6C" w:rsidR="00EB25CF" w:rsidRDefault="00EB25CF" w:rsidP="00EB25CF">
      <w:r>
        <w:lastRenderedPageBreak/>
        <w:t>2. Institutionalize feedback loops: Build channels for post-deployment learning to capture tacit knowledge and update models.</w:t>
      </w:r>
    </w:p>
    <w:p w14:paraId="45E49576" w14:textId="77777777" w:rsidR="00EB25CF" w:rsidRDefault="00EB25CF" w:rsidP="00EB25CF">
      <w:r>
        <w:t>3. Document heuristics: Create shared repositories of design heuristics and failure case studies.</w:t>
      </w:r>
    </w:p>
    <w:p w14:paraId="495E422C" w14:textId="0A5EA992" w:rsidR="00EB25CF" w:rsidRDefault="00EB25CF" w:rsidP="00EB25CF">
      <w:r>
        <w:t>4. Embed ethics in epistemology: Treat ethical review and stakeholder engagement as integral to knowledge production.</w:t>
      </w:r>
    </w:p>
    <w:p w14:paraId="45E27FCA" w14:textId="77777777" w:rsidR="00EB25CF" w:rsidRDefault="00EB25CF" w:rsidP="00EB25CF"/>
    <w:p w14:paraId="0E835BF4" w14:textId="1D4D51F6" w:rsidR="00EB25CF" w:rsidRPr="00EB25CF" w:rsidRDefault="00EB25CF" w:rsidP="00EB25CF">
      <w:pPr>
        <w:rPr>
          <w:b/>
          <w:bCs/>
        </w:rPr>
      </w:pPr>
      <w:r w:rsidRPr="00EB25CF">
        <w:rPr>
          <w:b/>
          <w:bCs/>
        </w:rPr>
        <w:t>9. Limitations and Further Research</w:t>
      </w:r>
    </w:p>
    <w:p w14:paraId="35B2817C" w14:textId="77673A2E" w:rsidR="00EB25CF" w:rsidRDefault="00EB25CF" w:rsidP="00EB25CF">
      <w:r>
        <w:t>This study is conceptual and comparative; empirical work (surveys, interviews, and protocol analysis) would strengthen claims. Future work could focus on cross-cultural variations in engineering epistemologies and the effect of AI-assisted design tools on epistemic practices.</w:t>
      </w:r>
    </w:p>
    <w:p w14:paraId="210F0188" w14:textId="77777777" w:rsidR="00EB25CF" w:rsidRDefault="00EB25CF" w:rsidP="00EB25CF"/>
    <w:p w14:paraId="51E1CEAB" w14:textId="3A4DFB39" w:rsidR="00EB25CF" w:rsidRPr="00EB25CF" w:rsidRDefault="00EB25CF" w:rsidP="00EB25CF">
      <w:pPr>
        <w:rPr>
          <w:b/>
          <w:bCs/>
        </w:rPr>
      </w:pPr>
      <w:r w:rsidRPr="00EB25CF">
        <w:rPr>
          <w:b/>
          <w:bCs/>
        </w:rPr>
        <w:t>10. Conclusion</w:t>
      </w:r>
    </w:p>
    <w:p w14:paraId="16CA8F58" w14:textId="5EC267A3" w:rsidR="006751E7" w:rsidRDefault="00EB25CF" w:rsidP="00EB25CF">
      <w:r>
        <w:t>Engineering design is an epistemically plural practice. Understanding how knowledge is produced and validated in different design domains improves decision making, teaching, and policy. The comparative lens shows that context — stakes, regulatory landscapes, and material realities — structures which forms of knowledge are trusted and why.</w:t>
      </w:r>
    </w:p>
    <w:sectPr w:rsidR="00675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CF"/>
    <w:rsid w:val="006751E7"/>
    <w:rsid w:val="008A683F"/>
    <w:rsid w:val="00EB25CF"/>
    <w:rsid w:val="00EC6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FFE99"/>
  <w15:chartTrackingRefBased/>
  <w15:docId w15:val="{CE72AABC-71F4-416D-BE0A-1EC7E2FC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5CF"/>
    <w:rPr>
      <w:rFonts w:eastAsiaTheme="majorEastAsia" w:cstheme="majorBidi"/>
      <w:color w:val="272727" w:themeColor="text1" w:themeTint="D8"/>
    </w:rPr>
  </w:style>
  <w:style w:type="paragraph" w:styleId="Title">
    <w:name w:val="Title"/>
    <w:basedOn w:val="Normal"/>
    <w:next w:val="Normal"/>
    <w:link w:val="TitleChar"/>
    <w:uiPriority w:val="10"/>
    <w:qFormat/>
    <w:rsid w:val="00EB2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5CF"/>
    <w:pPr>
      <w:spacing w:before="160"/>
      <w:jc w:val="center"/>
    </w:pPr>
    <w:rPr>
      <w:i/>
      <w:iCs/>
      <w:color w:val="404040" w:themeColor="text1" w:themeTint="BF"/>
    </w:rPr>
  </w:style>
  <w:style w:type="character" w:customStyle="1" w:styleId="QuoteChar">
    <w:name w:val="Quote Char"/>
    <w:basedOn w:val="DefaultParagraphFont"/>
    <w:link w:val="Quote"/>
    <w:uiPriority w:val="29"/>
    <w:rsid w:val="00EB25CF"/>
    <w:rPr>
      <w:i/>
      <w:iCs/>
      <w:color w:val="404040" w:themeColor="text1" w:themeTint="BF"/>
    </w:rPr>
  </w:style>
  <w:style w:type="paragraph" w:styleId="ListParagraph">
    <w:name w:val="List Paragraph"/>
    <w:basedOn w:val="Normal"/>
    <w:uiPriority w:val="34"/>
    <w:qFormat/>
    <w:rsid w:val="00EB25CF"/>
    <w:pPr>
      <w:ind w:left="720"/>
      <w:contextualSpacing/>
    </w:pPr>
  </w:style>
  <w:style w:type="character" w:styleId="IntenseEmphasis">
    <w:name w:val="Intense Emphasis"/>
    <w:basedOn w:val="DefaultParagraphFont"/>
    <w:uiPriority w:val="21"/>
    <w:qFormat/>
    <w:rsid w:val="00EB25CF"/>
    <w:rPr>
      <w:i/>
      <w:iCs/>
      <w:color w:val="0F4761" w:themeColor="accent1" w:themeShade="BF"/>
    </w:rPr>
  </w:style>
  <w:style w:type="paragraph" w:styleId="IntenseQuote">
    <w:name w:val="Intense Quote"/>
    <w:basedOn w:val="Normal"/>
    <w:next w:val="Normal"/>
    <w:link w:val="IntenseQuoteChar"/>
    <w:uiPriority w:val="30"/>
    <w:qFormat/>
    <w:rsid w:val="00EB2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5CF"/>
    <w:rPr>
      <w:i/>
      <w:iCs/>
      <w:color w:val="0F4761" w:themeColor="accent1" w:themeShade="BF"/>
    </w:rPr>
  </w:style>
  <w:style w:type="character" w:styleId="IntenseReference">
    <w:name w:val="Intense Reference"/>
    <w:basedOn w:val="DefaultParagraphFont"/>
    <w:uiPriority w:val="32"/>
    <w:qFormat/>
    <w:rsid w:val="00EB2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Gupta</dc:creator>
  <cp:keywords/>
  <dc:description/>
  <cp:lastModifiedBy>Sneha Gupta</cp:lastModifiedBy>
  <cp:revision>1</cp:revision>
  <dcterms:created xsi:type="dcterms:W3CDTF">2025-11-02T13:42:00Z</dcterms:created>
  <dcterms:modified xsi:type="dcterms:W3CDTF">2025-11-02T13:53:00Z</dcterms:modified>
</cp:coreProperties>
</file>