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A3C6E"/>
          <w:sz w:val="56"/>
          <w:szCs w:val="56"/>
        </w:rPr>
        <w:t xml:space="preserve">Credit Risk Analysis System</w:t>
      </w:r>
    </w:p>
    <w:p>
      <w:pPr>
        <w:spacing w:after="800"/>
        <w:jc w:val="center"/>
      </w:pPr>
      <w:r>
        <w:rPr>
          <w:color w:val="666666"/>
          <w:sz w:val="32"/>
          <w:szCs w:val="32"/>
        </w:rPr>
        <w:t xml:space="preserve">Data Science Capstone Project Report</w:t>
      </w:r>
    </w:p>
    <w:p>
      <w:pPr>
        <w:spacing w:after="1600"/>
        <w:jc w:val="center"/>
      </w:pPr>
      <w:r>
        <w:rPr>
          <w:i/>
          <w:iCs/>
          <w:sz w:val="24"/>
          <w:szCs w:val="24"/>
        </w:rPr>
        <w:t xml:space="preserve">Predicting Loan Approval and Credit Risk Using Machine Learning</w:t>
      </w:r>
    </w:p>
    <w:p>
      <w:pPr>
        <w:jc w:val="center"/>
      </w:pPr>
      <w:r>
        <w:rPr>
          <w:sz w:val="22"/>
          <w:szCs w:val="22"/>
        </w:rPr>
        <w:t xml:space="preserve">Submitted as part of the SkillOrbit Data Science Capstone Program</w:t>
      </w:r>
    </w:p>
    <w:p>
      <w:r>
        <w:br w:type="page"/>
      </w:r>
    </w:p>
    <w:p>
      <w:pPr>
        <w:pStyle w:val="Heading1"/>
        <w:spacing w:after="150" w:before="300"/>
      </w:pPr>
      <w:r>
        <w:t xml:space="preserve">1. Introduction &amp; Objective</w:t>
      </w:r>
    </w:p>
    <w:p>
      <w:pPr>
        <w:spacing w:after="160"/>
      </w:pPr>
      <w:r>
        <w:t xml:space="preserve">The Credit Risk Analysis System is a data-driven application designed to help financial institutions evaluate whether a loan applicant is likely to repay a loan or represent a credit risk. The system analyzes customer financial and demographic data and applies machine learning techniques to predict loan approval likelihood, generate a risk category, and produce an actionable recommendation.</w:t>
      </w:r>
    </w:p>
    <w:p>
      <w:pPr>
        <w:spacing w:after="160"/>
      </w:pPr>
      <w:r>
        <w:t xml:space="preserve">This project was undertaken to gain practical, end-to-end exposure to how banks, NBFCs, and fintech companies use data science for lending decisions, covering the full workflow from data cleaning through exploratory analysis, model building, and deployment as an interactive dashboard.</w:t>
      </w:r>
    </w:p>
    <w:p>
      <w:pPr>
        <w:pStyle w:val="Heading2"/>
        <w:spacing w:after="120" w:before="250"/>
      </w:pPr>
      <w:r>
        <w:t xml:space="preserve">1.1 Objectives</w:t>
      </w:r>
    </w:p>
    <w:p>
      <w:pPr>
        <w:pStyle w:val="ListParagraph"/>
        <w:numPr>
          <w:ilvl w:val="0"/>
          <w:numId w:val="1"/>
        </w:numPr>
        <w:spacing w:after="100"/>
      </w:pPr>
      <w:r>
        <w:t xml:space="preserve">Analyze customer financial and demographic data to understand patterns related to loan approval.</w:t>
      </w:r>
    </w:p>
    <w:p>
      <w:pPr>
        <w:pStyle w:val="ListParagraph"/>
        <w:numPr>
          <w:ilvl w:val="0"/>
          <w:numId w:val="1"/>
        </w:numPr>
        <w:spacing w:after="100"/>
      </w:pPr>
      <w:r>
        <w:t xml:space="preserve">Identify low-risk and high-risk applicant profiles.</w:t>
      </w:r>
    </w:p>
    <w:p>
      <w:pPr>
        <w:pStyle w:val="ListParagraph"/>
        <w:numPr>
          <w:ilvl w:val="0"/>
          <w:numId w:val="1"/>
        </w:numPr>
        <w:spacing w:after="100"/>
      </w:pPr>
      <w:r>
        <w:t xml:space="preserve">Build and compare machine learning models to predict loan approval probability.</w:t>
      </w:r>
    </w:p>
    <w:p>
      <w:pPr>
        <w:pStyle w:val="ListParagraph"/>
        <w:numPr>
          <w:ilvl w:val="0"/>
          <w:numId w:val="1"/>
        </w:numPr>
        <w:spacing w:after="100"/>
      </w:pPr>
      <w:r>
        <w:t xml:space="preserve">Generate risk insights and visualizations through an interactive dashboard.</w:t>
      </w:r>
    </w:p>
    <w:p>
      <w:pPr>
        <w:pStyle w:val="ListParagraph"/>
        <w:numPr>
          <w:ilvl w:val="0"/>
          <w:numId w:val="1"/>
        </w:numPr>
        <w:spacing w:after="100"/>
      </w:pPr>
      <w:r>
        <w:t xml:space="preserve">Produce a final recommendation system (Approve / Review Manually / Reject) based on model output.</w:t>
      </w:r>
    </w:p>
    <w:p>
      <w:pPr>
        <w:pStyle w:val="Heading1"/>
        <w:spacing w:after="150" w:before="300"/>
      </w:pPr>
      <w:r>
        <w:t xml:space="preserve">2. Dataset Description</w:t>
      </w:r>
    </w:p>
    <w:p>
      <w:pPr>
        <w:spacing w:after="160"/>
      </w:pPr>
      <w:r>
        <w:t xml:space="preserve">The project uses the publicly available Loan Prediction Dataset, a widely used dataset for credit risk and loan approval classification tasks.</w:t>
      </w:r>
    </w:p>
    <w:p>
      <w:pPr>
        <w:spacing w:after="160"/>
      </w:pPr>
      <w:r>
        <w:rPr>
          <w:b/>
          <w:bCs/>
        </w:rPr>
        <w:t xml:space="preserve">Total records: </w:t>
      </w:r>
      <w:r>
        <w:t xml:space="preserve">614 applicants</w:t>
      </w:r>
    </w:p>
    <w:p>
      <w:pPr>
        <w:spacing w:after="160"/>
      </w:pPr>
      <w:r>
        <w:rPr>
          <w:b/>
          <w:bCs/>
        </w:rPr>
        <w:t xml:space="preserve">Total features (before preprocessing): </w:t>
      </w:r>
      <w:r>
        <w:t xml:space="preserve">12 predictor variables plus a unique identifier (Loan_ID) and the target variable (Loan_Status)</w:t>
      </w:r>
    </w:p>
    <w:p>
      <w:pPr>
        <w:spacing w:after="160"/>
      </w:pPr>
      <w:r>
        <w:t xml:space="preserve">Feature summary:</w:t>
      </w:r>
    </w:p>
    <w:p>
      <w:pPr>
        <w:pStyle w:val="ListParagraph"/>
        <w:numPr>
          <w:ilvl w:val="0"/>
          <w:numId w:val="1"/>
        </w:numPr>
        <w:spacing w:after="100"/>
      </w:pPr>
      <w:r>
        <w:t xml:space="preserve">Gender, Married, Dependents, Education, Self_Employed — applicant demographic details</w:t>
      </w:r>
    </w:p>
    <w:p>
      <w:pPr>
        <w:pStyle w:val="ListParagraph"/>
        <w:numPr>
          <w:ilvl w:val="0"/>
          <w:numId w:val="1"/>
        </w:numPr>
        <w:spacing w:after="100"/>
      </w:pPr>
      <w:r>
        <w:t xml:space="preserve">ApplicantIncome, CoapplicantIncome — income information</w:t>
      </w:r>
    </w:p>
    <w:p>
      <w:pPr>
        <w:pStyle w:val="ListParagraph"/>
        <w:numPr>
          <w:ilvl w:val="0"/>
          <w:numId w:val="1"/>
        </w:numPr>
        <w:spacing w:after="100"/>
      </w:pPr>
      <w:r>
        <w:t xml:space="preserve">LoanAmount, Loan_Amount_Term — requested loan details</w:t>
      </w:r>
    </w:p>
    <w:p>
      <w:pPr>
        <w:pStyle w:val="ListParagraph"/>
        <w:numPr>
          <w:ilvl w:val="0"/>
          <w:numId w:val="1"/>
        </w:numPr>
        <w:spacing w:after="100"/>
      </w:pPr>
      <w:r>
        <w:t xml:space="preserve">Credit_History — binary flag indicating prior credit repayment behavior</w:t>
      </w:r>
    </w:p>
    <w:p>
      <w:pPr>
        <w:pStyle w:val="ListParagraph"/>
        <w:numPr>
          <w:ilvl w:val="0"/>
          <w:numId w:val="1"/>
        </w:numPr>
        <w:spacing w:after="100"/>
      </w:pPr>
      <w:r>
        <w:t xml:space="preserve">Property_Area — Rural, Semiurban, or Urban</w:t>
      </w:r>
    </w:p>
    <w:p>
      <w:pPr>
        <w:pStyle w:val="ListParagraph"/>
        <w:numPr>
          <w:ilvl w:val="0"/>
          <w:numId w:val="1"/>
        </w:numPr>
        <w:spacing w:after="100"/>
      </w:pPr>
      <w:r>
        <w:t xml:space="preserve">Loan_Status — target variable (Y = Approved, N = Rejected)</w:t>
      </w:r>
    </w:p>
    <w:p>
      <w:pPr>
        <w:spacing w:after="160"/>
      </w:pPr>
      <w:r>
        <w:t xml:space="preserve">Loan_ID was dropped immediately after loading, as it is a unique identifier with no predictive value. No duplicate rows or duplicate columns were found in the dataset.</w:t>
      </w:r>
    </w:p>
    <w:p>
      <w:pPr>
        <w:pStyle w:val="Heading1"/>
        <w:spacing w:after="150" w:before="300"/>
      </w:pPr>
      <w:r>
        <w:t xml:space="preserve">3. Module 1: Data Collection &amp; Preprocessing</w:t>
      </w:r>
    </w:p>
    <w:p>
      <w:pPr>
        <w:pStyle w:val="Heading2"/>
        <w:spacing w:after="120" w:before="250"/>
      </w:pPr>
      <w:r>
        <w:t xml:space="preserve">3.1 Handling Missing Values</w:t>
      </w:r>
    </w:p>
    <w:p>
      <w:pPr>
        <w:spacing w:after="160"/>
      </w:pPr>
      <w:r>
        <w:t xml:space="preserve">Several columns contained missing values (Gender: 13, Married: 3, Dependents: 15, Self_Employed: 32, LoanAmount: 22, Loan_Amount_Term: 14, Credit_History: 50). These were treated as follows:</w:t>
      </w:r>
    </w:p>
    <w:p>
      <w:pPr>
        <w:pStyle w:val="ListParagraph"/>
        <w:numPr>
          <w:ilvl w:val="0"/>
          <w:numId w:val="1"/>
        </w:numPr>
        <w:spacing w:after="100"/>
      </w:pPr>
      <w:r>
        <w:t xml:space="preserve">Categorical columns (Gender, Married, Dependents, Self_Employed, Credit_History) were filled using the mode (most frequent value), since these represent categories rather than continuous quantities.</w:t>
      </w:r>
    </w:p>
    <w:p>
      <w:pPr>
        <w:pStyle w:val="ListParagraph"/>
        <w:numPr>
          <w:ilvl w:val="0"/>
          <w:numId w:val="1"/>
        </w:numPr>
        <w:spacing w:after="100"/>
      </w:pPr>
      <w:r>
        <w:t xml:space="preserve">Numeric columns (LoanAmount, Loan_Amount_Term) were filled using the median rather than the mean, as loan amounts in the dataset are right-skewed with several high-value outliers; the median provides a more robust and representative estimate of central tendency in the presence of such skew.</w:t>
      </w:r>
    </w:p>
    <w:p>
      <w:pPr>
        <w:spacing w:after="160"/>
      </w:pPr>
      <w:r>
        <w:t xml:space="preserve">After imputation, all columns showed zero missing values, verified using df.isnull().sum().</w:t>
      </w:r>
    </w:p>
    <w:p>
      <w:pPr>
        <w:pStyle w:val="Heading2"/>
        <w:spacing w:after="120" w:before="250"/>
      </w:pPr>
      <w:r>
        <w:t xml:space="preserve">3.2 Encoding Categorical Variables</w:t>
      </w:r>
    </w:p>
    <w:p>
      <w:pPr>
        <w:spacing w:after="160"/>
      </w:pPr>
      <w:r>
        <w:t xml:space="preserve">Binary categorical variables with no inherent order (Gender, Married, Education, Self_Employed, and the target Loan_Status) were encoded directly as 0/1 using value mapping. Property_Area, which has three unrelated categories (Rural, Semiurban, Urban) with no natural ranking, was one-hot encoded using pandas.get_dummies with drop_first=True to avoid the dummy variable trap, producing two columns (Property_Area_Semiurban, Property_Area_Urban) with Rural as the implicit baseline.</w:t>
      </w:r>
    </w:p>
    <w:p>
      <w:pPr>
        <w:spacing w:after="160"/>
      </w:pPr>
      <w:r>
        <w:rPr>
          <w:b/>
          <w:bCs/>
        </w:rPr>
        <w:t xml:space="preserve">Dependents: </w:t>
      </w:r>
      <w:r>
        <w:t xml:space="preserve">The value "3+" was treated as a floor value and encoded as the integer 3, since the dataset does not record the exact number of dependents beyond this threshold. Dependents was kept as a single numeric column (rather than one-hot encoded) because, unlike Gender or Married, the number of dependents carries a genuine ordinal relationship — a higher number of dependents is meaningfully "more" than a lower number.</w:t>
      </w:r>
    </w:p>
    <w:p>
      <w:pPr>
        <w:pStyle w:val="Heading2"/>
        <w:spacing w:after="120" w:before="250"/>
      </w:pPr>
      <w:r>
        <w:t xml:space="preserve">3.3 Feature Engineering</w:t>
      </w:r>
    </w:p>
    <w:p>
      <w:pPr>
        <w:spacing w:after="160"/>
      </w:pPr>
      <w:r>
        <w:t xml:space="preserve">A Total_Income feature (ApplicantIncome + CoapplicantIncome) was engineered during exploratory analysis to represent combined household income. This feature was used to generate EDA visualizations but was excluded from the final predictive model, as it showed a very high correlation with ApplicantIncome (0.89) and CoapplicantIncome (0.34) in the correlation analysis, making it largely redundant with information the model already has access to individually.</w:t>
      </w:r>
    </w:p>
    <w:p>
      <w:pPr>
        <w:pStyle w:val="Heading2"/>
        <w:spacing w:after="120" w:before="250"/>
      </w:pPr>
      <w:r>
        <w:t xml:space="preserve">3.4 Feature Scaling</w:t>
      </w:r>
    </w:p>
    <w:p>
      <w:pPr>
        <w:spacing w:after="160"/>
      </w:pPr>
      <w:r>
        <w:t xml:space="preserve">Continuous numeric features were scaled using scikit-learn's StandardScaler, fitted only on the training data and then applied to the test data, in order to avoid data leakage. Scaling was applied primarily to support Logistic Regression, which is sensitive to differences in feature magnitude; tree-based models (Decision Tree, Random Forest) do not require scaling but were trained on the same scaled data for pipeline consistency.</w:t>
      </w:r>
    </w:p>
    <w:p>
      <w:pPr>
        <w:pStyle w:val="Heading1"/>
        <w:spacing w:after="150" w:before="300"/>
      </w:pPr>
      <w:r>
        <w:t xml:space="preserve">4. Module 2: Exploratory Data Analysis</w:t>
      </w:r>
    </w:p>
    <w:p>
      <w:pPr>
        <w:pStyle w:val="Heading2"/>
        <w:spacing w:after="120" w:before="250"/>
      </w:pPr>
      <w:r>
        <w:t xml:space="preserve">4.1 Customer Income Patterns</w:t>
      </w:r>
    </w:p>
    <w:p>
      <w:pPr>
        <w:spacing w:after="160"/>
      </w:pPr>
      <w:r>
        <w:t xml:space="preserve">Applicant income is right-skewed, with most applicants earning between roughly ₹0–10,000 and a small number of high earners extending the distribution's tail toward ₹80,000.</w:t>
      </w:r>
    </w:p>
    <w:p>
      <w:pPr>
        <w:spacing w:after="160"/>
      </w:pPr>
      <w:r>
        <w:t xml:space="preserve">Average applicant income shows almost no difference between approved (₹5,384) and rejected (₹5,446) applicants — a difference of just ₹62. This is a somewhat counterintuitive finding: approval decisions appear driven far more by creditworthiness than by how much an applicant earns. This was confirmed further using Total_Income (household income), which also showed nearly identical distributions between the two groups.</w:t>
      </w:r>
    </w:p>
    <w:p>
      <w:pPr>
        <w:pStyle w:val="Heading2"/>
        <w:spacing w:after="120" w:before="250"/>
      </w:pPr>
      <w:r>
        <w:t xml:space="preserve">4.2 Loan Amounts</w:t>
      </w:r>
    </w:p>
    <w:p>
      <w:pPr>
        <w:spacing w:after="160"/>
      </w:pPr>
      <w:r>
        <w:t xml:space="preserve">Loan amounts are similarly right-skewed, with most requests falling between ₹100–200 and a long tail extending to ₹700. The distribution shape and average loan amount (₹150 for rejected vs. ₹144 for approved applicants) are nearly identical between approved and rejected applicants, indicating that loan amount alone does not meaningfully predict approval outcome.</w:t>
      </w:r>
    </w:p>
    <w:p>
      <w:pPr>
        <w:pStyle w:val="Heading2"/>
        <w:spacing w:after="120" w:before="250"/>
      </w:pPr>
      <w:r>
        <w:t xml:space="preserve">4.3 Credit History</w:t>
      </w:r>
    </w:p>
    <w:p>
      <w:pPr>
        <w:spacing w:after="160"/>
      </w:pPr>
      <w:r>
        <w:t xml:space="preserve">The majority of applicants (85.5%) have a good credit history, while 14.5% have a poor credit history — a realistic, imbalanced representation of a real-world lending population.</w:t>
      </w:r>
    </w:p>
    <w:p>
      <w:pPr>
        <w:spacing w:after="160"/>
      </w:pPr>
      <w:r>
        <w:t xml:space="preserve">This is the single strongest pattern in the dataset: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200"/>
            <w:shd w:fill="1A3C6E" w:val="clear"/>
          </w:tcPr>
          <w:p>
            <w:r>
              <w:rPr>
                <w:b/>
                <w:bCs/>
                <w:color w:val="FFFFFF"/>
              </w:rPr>
              <w:t xml:space="preserve">Credit History</w:t>
            </w:r>
          </w:p>
        </w:tc>
        <w:tc>
          <w:tcPr>
            <w:tcW w:type="dxa" w:w="2200"/>
            <w:shd w:fill="1A3C6E" w:val="clear"/>
          </w:tcPr>
          <w:p>
            <w:r>
              <w:rPr>
                <w:b/>
                <w:bCs/>
                <w:color w:val="FFFFFF"/>
              </w:rPr>
              <w:t xml:space="preserve">Rejected</w:t>
            </w:r>
          </w:p>
        </w:tc>
        <w:tc>
          <w:tcPr>
            <w:tcW w:type="dxa" w:w="2200"/>
            <w:shd w:fill="1A3C6E" w:val="clear"/>
          </w:tcPr>
          <w:p>
            <w:r>
              <w:rPr>
                <w:b/>
                <w:bCs/>
                <w:color w:val="FFFFFF"/>
              </w:rPr>
              <w:t xml:space="preserve">Approved</w:t>
            </w:r>
          </w:p>
        </w:tc>
      </w:tr>
      <w:tr>
        <w:tc>
          <w:tcPr>
            <w:tcW w:type="dxa" w:w="2200"/>
          </w:tcPr>
          <w:p>
            <w:r>
              <w:rPr>
                <w:b w:val="false"/>
                <w:bCs w:val="false"/>
                <w:color w:val="000000"/>
              </w:rPr>
              <w:t xml:space="preserve">Bad (0)</w:t>
            </w:r>
          </w:p>
        </w:tc>
        <w:tc>
          <w:tcPr>
            <w:tcW w:type="dxa" w:w="2200"/>
          </w:tcPr>
          <w:p>
            <w:r>
              <w:rPr>
                <w:b w:val="false"/>
                <w:bCs w:val="false"/>
                <w:color w:val="000000"/>
              </w:rPr>
              <w:t xml:space="preserve">82 (92.1%)</w:t>
            </w:r>
          </w:p>
        </w:tc>
        <w:tc>
          <w:tcPr>
            <w:tcW w:type="dxa" w:w="2200"/>
          </w:tcPr>
          <w:p>
            <w:r>
              <w:rPr>
                <w:b w:val="false"/>
                <w:bCs w:val="false"/>
                <w:color w:val="000000"/>
              </w:rPr>
              <w:t xml:space="preserve">7 (7.9%)</w:t>
            </w:r>
          </w:p>
        </w:tc>
      </w:tr>
      <w:tr>
        <w:tc>
          <w:tcPr>
            <w:tcW w:type="dxa" w:w="2200"/>
          </w:tcPr>
          <w:p>
            <w:r>
              <w:rPr>
                <w:b w:val="false"/>
                <w:bCs w:val="false"/>
                <w:color w:val="000000"/>
              </w:rPr>
              <w:t xml:space="preserve">Good (1)</w:t>
            </w:r>
          </w:p>
        </w:tc>
        <w:tc>
          <w:tcPr>
            <w:tcW w:type="dxa" w:w="2200"/>
          </w:tcPr>
          <w:p>
            <w:r>
              <w:rPr>
                <w:b w:val="false"/>
                <w:bCs w:val="false"/>
                <w:color w:val="000000"/>
              </w:rPr>
              <w:t xml:space="preserve">110 (20.9%)</w:t>
            </w:r>
          </w:p>
        </w:tc>
        <w:tc>
          <w:tcPr>
            <w:tcW w:type="dxa" w:w="2200"/>
          </w:tcPr>
          <w:p>
            <w:r>
              <w:rPr>
                <w:b w:val="false"/>
                <w:bCs w:val="false"/>
                <w:color w:val="000000"/>
              </w:rPr>
              <w:t xml:space="preserve">415 (79.1%)</w:t>
            </w:r>
          </w:p>
        </w:tc>
      </w:tr>
    </w:tbl>
    <w:p>
      <w:pPr>
        <w:spacing w:after="200"/>
      </w:pPr>
    </w:p>
    <w:p>
      <w:pPr>
        <w:spacing w:after="160"/>
      </w:pPr>
      <w:r>
        <w:t xml:space="preserve">Applicants with good credit history are approved at a dramatically higher rate (79.1%) than those with poor credit history (7.9%). This confirms Credit_History as the dominant predictor of loan approval, a finding later validated by its 0.54 correlation with Loan_Status — by far the highest of any feature.</w:t>
      </w:r>
    </w:p>
    <w:p>
      <w:pPr>
        <w:pStyle w:val="Heading2"/>
        <w:spacing w:after="120" w:before="250"/>
      </w:pPr>
      <w:r>
        <w:t xml:space="preserve">4.4 Default Trends</w:t>
      </w:r>
    </w:p>
    <w:p>
      <w:pPr>
        <w:spacing w:after="160"/>
      </w:pPr>
      <w:r>
        <w:t xml:space="preserve">Overall, 68.7% of applicants were approved and 31.3% were rejected. This baseline matters for model evaluation: a model that predicted "Approved" for every applicant would already achieve roughly 69% accuracy without learning anything meaningful, which is why precision, recall, and F1-score — not accuracy alone — were used to properly evaluate model performance.</w:t>
      </w:r>
    </w:p>
    <w:p>
      <w:pPr>
        <w:spacing w:after="160"/>
      </w:pPr>
      <w:r>
        <w:t xml:space="preserve">Breaking this down further by education level: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200"/>
            <w:shd w:fill="1A3C6E" w:val="clear"/>
          </w:tcPr>
          <w:p>
            <w:r>
              <w:rPr>
                <w:b/>
                <w:bCs/>
                <w:color w:val="FFFFFF"/>
              </w:rPr>
              <w:t xml:space="preserve">Education</w:t>
            </w:r>
          </w:p>
        </w:tc>
        <w:tc>
          <w:tcPr>
            <w:tcW w:type="dxa" w:w="2200"/>
            <w:shd w:fill="1A3C6E" w:val="clear"/>
          </w:tcPr>
          <w:p>
            <w:r>
              <w:rPr>
                <w:b/>
                <w:bCs/>
                <w:color w:val="FFFFFF"/>
              </w:rPr>
              <w:t xml:space="preserve">Rejected</w:t>
            </w:r>
          </w:p>
        </w:tc>
        <w:tc>
          <w:tcPr>
            <w:tcW w:type="dxa" w:w="2200"/>
            <w:shd w:fill="1A3C6E" w:val="clear"/>
          </w:tcPr>
          <w:p>
            <w:r>
              <w:rPr>
                <w:b/>
                <w:bCs/>
                <w:color w:val="FFFFFF"/>
              </w:rPr>
              <w:t xml:space="preserve">Approved</w:t>
            </w:r>
          </w:p>
        </w:tc>
      </w:tr>
      <w:tr>
        <w:tc>
          <w:tcPr>
            <w:tcW w:type="dxa" w:w="2200"/>
          </w:tcPr>
          <w:p>
            <w:r>
              <w:rPr>
                <w:b w:val="false"/>
                <w:bCs w:val="false"/>
                <w:color w:val="000000"/>
              </w:rPr>
              <w:t xml:space="preserve">Not Graduate</w:t>
            </w:r>
          </w:p>
        </w:tc>
        <w:tc>
          <w:tcPr>
            <w:tcW w:type="dxa" w:w="2200"/>
          </w:tcPr>
          <w:p>
            <w:r>
              <w:rPr>
                <w:b w:val="false"/>
                <w:bCs w:val="false"/>
                <w:color w:val="000000"/>
              </w:rPr>
              <w:t xml:space="preserve">52 (38.8%)</w:t>
            </w:r>
          </w:p>
        </w:tc>
        <w:tc>
          <w:tcPr>
            <w:tcW w:type="dxa" w:w="2200"/>
          </w:tcPr>
          <w:p>
            <w:r>
              <w:rPr>
                <w:b w:val="false"/>
                <w:bCs w:val="false"/>
                <w:color w:val="000000"/>
              </w:rPr>
              <w:t xml:space="preserve">82 (61.2%)</w:t>
            </w:r>
          </w:p>
        </w:tc>
      </w:tr>
      <w:tr>
        <w:tc>
          <w:tcPr>
            <w:tcW w:type="dxa" w:w="2200"/>
          </w:tcPr>
          <w:p>
            <w:r>
              <w:rPr>
                <w:b w:val="false"/>
                <w:bCs w:val="false"/>
                <w:color w:val="000000"/>
              </w:rPr>
              <w:t xml:space="preserve">Graduate</w:t>
            </w:r>
          </w:p>
        </w:tc>
        <w:tc>
          <w:tcPr>
            <w:tcW w:type="dxa" w:w="2200"/>
          </w:tcPr>
          <w:p>
            <w:r>
              <w:rPr>
                <w:b w:val="false"/>
                <w:bCs w:val="false"/>
                <w:color w:val="000000"/>
              </w:rPr>
              <w:t xml:space="preserve">140 (29.2%)</w:t>
            </w:r>
          </w:p>
        </w:tc>
        <w:tc>
          <w:tcPr>
            <w:tcW w:type="dxa" w:w="2200"/>
          </w:tcPr>
          <w:p>
            <w:r>
              <w:rPr>
                <w:b w:val="false"/>
                <w:bCs w:val="false"/>
                <w:color w:val="000000"/>
              </w:rPr>
              <w:t xml:space="preserve">340 (70.8%)</w:t>
            </w:r>
          </w:p>
        </w:tc>
      </w:tr>
    </w:tbl>
    <w:p>
      <w:pPr>
        <w:spacing w:after="200"/>
      </w:pPr>
    </w:p>
    <w:p>
      <w:pPr>
        <w:spacing w:after="160"/>
      </w:pPr>
      <w:r>
        <w:t xml:space="preserve">Graduate applicants are approved more often (70.8%) than Not Graduate applicants (61.2%). Note that Graduate applicants (n=480) significantly outnumber Not Graduate applicants (n=134), so approval rates rather than raw counts were used for a fair comparison.</w:t>
      </w:r>
    </w:p>
    <w:p>
      <w:pPr>
        <w:spacing w:after="160"/>
      </w:pPr>
      <w:r>
        <w:t xml:space="preserve">A similar, smaller effect was observed for marital status: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200"/>
            <w:shd w:fill="1A3C6E" w:val="clear"/>
          </w:tcPr>
          <w:p>
            <w:r>
              <w:rPr>
                <w:b/>
                <w:bCs/>
                <w:color w:val="FFFFFF"/>
              </w:rPr>
              <w:t xml:space="preserve">Married</w:t>
            </w:r>
          </w:p>
        </w:tc>
        <w:tc>
          <w:tcPr>
            <w:tcW w:type="dxa" w:w="2200"/>
            <w:shd w:fill="1A3C6E" w:val="clear"/>
          </w:tcPr>
          <w:p>
            <w:r>
              <w:rPr>
                <w:b/>
                <w:bCs/>
                <w:color w:val="FFFFFF"/>
              </w:rPr>
              <w:t xml:space="preserve">Rejected</w:t>
            </w:r>
          </w:p>
        </w:tc>
        <w:tc>
          <w:tcPr>
            <w:tcW w:type="dxa" w:w="2200"/>
            <w:shd w:fill="1A3C6E" w:val="clear"/>
          </w:tcPr>
          <w:p>
            <w:r>
              <w:rPr>
                <w:b/>
                <w:bCs/>
                <w:color w:val="FFFFFF"/>
              </w:rPr>
              <w:t xml:space="preserve">Approved</w:t>
            </w:r>
          </w:p>
        </w:tc>
      </w:tr>
      <w:tr>
        <w:tc>
          <w:tcPr>
            <w:tcW w:type="dxa" w:w="2200"/>
          </w:tcPr>
          <w:p>
            <w:r>
              <w:rPr>
                <w:b w:val="false"/>
                <w:bCs w:val="false"/>
                <w:color w:val="000000"/>
              </w:rPr>
              <w:t xml:space="preserve">No</w:t>
            </w:r>
          </w:p>
        </w:tc>
        <w:tc>
          <w:tcPr>
            <w:tcW w:type="dxa" w:w="2200"/>
          </w:tcPr>
          <w:p>
            <w:r>
              <w:rPr>
                <w:b w:val="false"/>
                <w:bCs w:val="false"/>
                <w:color w:val="000000"/>
              </w:rPr>
              <w:t xml:space="preserve">79 (37.1%)</w:t>
            </w:r>
          </w:p>
        </w:tc>
        <w:tc>
          <w:tcPr>
            <w:tcW w:type="dxa" w:w="2200"/>
          </w:tcPr>
          <w:p>
            <w:r>
              <w:rPr>
                <w:b w:val="false"/>
                <w:bCs w:val="false"/>
                <w:color w:val="000000"/>
              </w:rPr>
              <w:t xml:space="preserve">134 (62.9%)</w:t>
            </w:r>
          </w:p>
        </w:tc>
      </w:tr>
      <w:tr>
        <w:tc>
          <w:tcPr>
            <w:tcW w:type="dxa" w:w="2200"/>
          </w:tcPr>
          <w:p>
            <w:r>
              <w:rPr>
                <w:b w:val="false"/>
                <w:bCs w:val="false"/>
                <w:color w:val="000000"/>
              </w:rPr>
              <w:t xml:space="preserve">Yes</w:t>
            </w:r>
          </w:p>
        </w:tc>
        <w:tc>
          <w:tcPr>
            <w:tcW w:type="dxa" w:w="2200"/>
          </w:tcPr>
          <w:p>
            <w:r>
              <w:rPr>
                <w:b w:val="false"/>
                <w:bCs w:val="false"/>
                <w:color w:val="000000"/>
              </w:rPr>
              <w:t xml:space="preserve">113 (28.2%)</w:t>
            </w:r>
          </w:p>
        </w:tc>
        <w:tc>
          <w:tcPr>
            <w:tcW w:type="dxa" w:w="2200"/>
          </w:tcPr>
          <w:p>
            <w:r>
              <w:rPr>
                <w:b w:val="false"/>
                <w:bCs w:val="false"/>
                <w:color w:val="000000"/>
              </w:rPr>
              <w:t xml:space="preserve">288 (71.8%)</w:t>
            </w:r>
          </w:p>
        </w:tc>
      </w:tr>
    </w:tbl>
    <w:p>
      <w:pPr>
        <w:spacing w:after="200"/>
      </w:pPr>
    </w:p>
    <w:p>
      <w:pPr>
        <w:spacing w:after="160"/>
      </w:pPr>
      <w:r>
        <w:t xml:space="preserve">Married applicants show a higher approval rate (71.8%) than unmarried applicants (62.9%), possibly reflecting perceived financial stability associated with dual-income households. As with education, this effect is far smaller than the dominant impact of Credit_History.</w:t>
      </w:r>
    </w:p>
    <w:p>
      <w:pPr>
        <w:spacing w:after="160"/>
      </w:pPr>
      <w:r>
        <w:t xml:space="preserve">Gender, Self-Employment status, and Dependents were also examined but showed negligible variation in approval rates and are omitted here for brevity.</w:t>
      </w:r>
    </w:p>
    <w:p>
      <w:pPr>
        <w:pStyle w:val="Heading2"/>
        <w:spacing w:after="120" w:before="250"/>
      </w:pPr>
      <w:r>
        <w:t xml:space="preserve">4.5 Risk Distribution</w:t>
      </w:r>
    </w:p>
    <w:p>
      <w:pPr>
        <w:spacing w:after="160"/>
      </w:pPr>
      <w:r>
        <w:t xml:space="preserve">Approval rates vary modestly across property area: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2200"/>
            <w:shd w:fill="1A3C6E" w:val="clear"/>
          </w:tcPr>
          <w:p>
            <w:r>
              <w:rPr>
                <w:b/>
                <w:bCs/>
                <w:color w:val="FFFFFF"/>
              </w:rPr>
              <w:t xml:space="preserve">Property Area</w:t>
            </w:r>
          </w:p>
        </w:tc>
        <w:tc>
          <w:tcPr>
            <w:tcW w:type="dxa" w:w="2200"/>
            <w:shd w:fill="1A3C6E" w:val="clear"/>
          </w:tcPr>
          <w:p>
            <w:r>
              <w:rPr>
                <w:b/>
                <w:bCs/>
                <w:color w:val="FFFFFF"/>
              </w:rPr>
              <w:t xml:space="preserve">Rejected</w:t>
            </w:r>
          </w:p>
        </w:tc>
        <w:tc>
          <w:tcPr>
            <w:tcW w:type="dxa" w:w="2200"/>
            <w:shd w:fill="1A3C6E" w:val="clear"/>
          </w:tcPr>
          <w:p>
            <w:r>
              <w:rPr>
                <w:b/>
                <w:bCs/>
                <w:color w:val="FFFFFF"/>
              </w:rPr>
              <w:t xml:space="preserve">Approved</w:t>
            </w:r>
          </w:p>
        </w:tc>
        <w:tc>
          <w:tcPr>
            <w:tcW w:type="dxa" w:w="2200"/>
            <w:shd w:fill="1A3C6E" w:val="clear"/>
          </w:tcPr>
          <w:p>
            <w:r>
              <w:rPr>
                <w:b/>
                <w:bCs/>
                <w:color w:val="FFFFFF"/>
              </w:rPr>
              <w:t xml:space="preserve">Approval Rate</w:t>
            </w:r>
          </w:p>
        </w:tc>
      </w:tr>
      <w:tr>
        <w:tc>
          <w:tcPr>
            <w:tcW w:type="dxa" w:w="2200"/>
          </w:tcPr>
          <w:p>
            <w:r>
              <w:rPr>
                <w:b w:val="false"/>
                <w:bCs w:val="false"/>
                <w:color w:val="000000"/>
              </w:rPr>
              <w:t xml:space="preserve">Rural</w:t>
            </w:r>
          </w:p>
        </w:tc>
        <w:tc>
          <w:tcPr>
            <w:tcW w:type="dxa" w:w="2200"/>
          </w:tcPr>
          <w:p>
            <w:r>
              <w:rPr>
                <w:b w:val="false"/>
                <w:bCs w:val="false"/>
                <w:color w:val="000000"/>
              </w:rPr>
              <w:t xml:space="preserve">69</w:t>
            </w:r>
          </w:p>
        </w:tc>
        <w:tc>
          <w:tcPr>
            <w:tcW w:type="dxa" w:w="2200"/>
          </w:tcPr>
          <w:p>
            <w:r>
              <w:rPr>
                <w:b w:val="false"/>
                <w:bCs w:val="false"/>
                <w:color w:val="000000"/>
              </w:rPr>
              <w:t xml:space="preserve">110</w:t>
            </w:r>
          </w:p>
        </w:tc>
        <w:tc>
          <w:tcPr>
            <w:tcW w:type="dxa" w:w="2200"/>
          </w:tcPr>
          <w:p>
            <w:r>
              <w:rPr>
                <w:b w:val="false"/>
                <w:bCs w:val="false"/>
                <w:color w:val="000000"/>
              </w:rPr>
              <w:t xml:space="preserve">61.5%</w:t>
            </w:r>
          </w:p>
        </w:tc>
      </w:tr>
      <w:tr>
        <w:tc>
          <w:tcPr>
            <w:tcW w:type="dxa" w:w="2200"/>
          </w:tcPr>
          <w:p>
            <w:r>
              <w:rPr>
                <w:b w:val="false"/>
                <w:bCs w:val="false"/>
                <w:color w:val="000000"/>
              </w:rPr>
              <w:t xml:space="preserve">Semiurban</w:t>
            </w:r>
          </w:p>
        </w:tc>
        <w:tc>
          <w:tcPr>
            <w:tcW w:type="dxa" w:w="2200"/>
          </w:tcPr>
          <w:p>
            <w:r>
              <w:rPr>
                <w:b w:val="false"/>
                <w:bCs w:val="false"/>
                <w:color w:val="000000"/>
              </w:rPr>
              <w:t xml:space="preserve">54</w:t>
            </w:r>
          </w:p>
        </w:tc>
        <w:tc>
          <w:tcPr>
            <w:tcW w:type="dxa" w:w="2200"/>
          </w:tcPr>
          <w:p>
            <w:r>
              <w:rPr>
                <w:b w:val="false"/>
                <w:bCs w:val="false"/>
                <w:color w:val="000000"/>
              </w:rPr>
              <w:t xml:space="preserve">179</w:t>
            </w:r>
          </w:p>
        </w:tc>
        <w:tc>
          <w:tcPr>
            <w:tcW w:type="dxa" w:w="2200"/>
          </w:tcPr>
          <w:p>
            <w:r>
              <w:rPr>
                <w:b w:val="false"/>
                <w:bCs w:val="false"/>
                <w:color w:val="000000"/>
              </w:rPr>
              <w:t xml:space="preserve">76.8%</w:t>
            </w:r>
          </w:p>
        </w:tc>
      </w:tr>
      <w:tr>
        <w:tc>
          <w:tcPr>
            <w:tcW w:type="dxa" w:w="2200"/>
          </w:tcPr>
          <w:p>
            <w:r>
              <w:rPr>
                <w:b w:val="false"/>
                <w:bCs w:val="false"/>
                <w:color w:val="000000"/>
              </w:rPr>
              <w:t xml:space="preserve">Urban</w:t>
            </w:r>
          </w:p>
        </w:tc>
        <w:tc>
          <w:tcPr>
            <w:tcW w:type="dxa" w:w="2200"/>
          </w:tcPr>
          <w:p>
            <w:r>
              <w:rPr>
                <w:b w:val="false"/>
                <w:bCs w:val="false"/>
                <w:color w:val="000000"/>
              </w:rPr>
              <w:t xml:space="preserve">69</w:t>
            </w:r>
          </w:p>
        </w:tc>
        <w:tc>
          <w:tcPr>
            <w:tcW w:type="dxa" w:w="2200"/>
          </w:tcPr>
          <w:p>
            <w:r>
              <w:rPr>
                <w:b w:val="false"/>
                <w:bCs w:val="false"/>
                <w:color w:val="000000"/>
              </w:rPr>
              <w:t xml:space="preserve">133</w:t>
            </w:r>
          </w:p>
        </w:tc>
        <w:tc>
          <w:tcPr>
            <w:tcW w:type="dxa" w:w="2200"/>
          </w:tcPr>
          <w:p>
            <w:r>
              <w:rPr>
                <w:b w:val="false"/>
                <w:bCs w:val="false"/>
                <w:color w:val="000000"/>
              </w:rPr>
              <w:t xml:space="preserve">65.8%</w:t>
            </w:r>
          </w:p>
        </w:tc>
      </w:tr>
    </w:tbl>
    <w:p>
      <w:pPr>
        <w:spacing w:after="200"/>
      </w:pPr>
    </w:p>
    <w:p>
      <w:pPr>
        <w:spacing w:after="160"/>
      </w:pPr>
      <w:r>
        <w:t xml:space="preserve">Semiurban applicants show the highest approval rate (76.8%), while Rural applicants show the lowest (61.5%) — a modest regional effect, far smaller than the impact of Credit_History.</w:t>
      </w:r>
    </w:p>
    <w:p>
      <w:pPr>
        <w:spacing w:after="160"/>
      </w:pPr>
      <w:r>
        <w:t xml:space="preserve">A correlation heatmap of all numeric features confirmed Credit_History (0.54) as by far the strongest risk factor. Income, loan amount, and demographic features all showed weak or negligible correlation with Loan_Status, reinforcing that approval decisions in this dataset are driven primarily by credit history rather than financial magnitude or demographics.</w:t>
      </w:r>
    </w:p>
    <w:p>
      <w:pPr>
        <w:pStyle w:val="Heading1"/>
        <w:spacing w:after="150" w:before="300"/>
      </w:pPr>
      <w:r>
        <w:t xml:space="preserve">5. Module 3: Credit Risk Prediction Model</w:t>
      </w:r>
    </w:p>
    <w:p>
      <w:pPr>
        <w:spacing w:after="160"/>
      </w:pPr>
      <w:r>
        <w:t xml:space="preserve">Three classification algorithms were trained and compared on an identical 75/25 train-test split (random_state=0): Decision Tree, Random Forest, and Logistic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200"/>
            <w:shd w:fill="1A3C6E" w:val="clear"/>
          </w:tcPr>
          <w:p>
            <w:r>
              <w:rPr>
                <w:b/>
                <w:bCs/>
                <w:color w:val="FFFFFF"/>
              </w:rPr>
              <w:t xml:space="preserve">Model</w:t>
            </w:r>
          </w:p>
        </w:tc>
        <w:tc>
          <w:tcPr>
            <w:tcW w:type="dxa" w:w="2200"/>
            <w:shd w:fill="1A3C6E" w:val="clear"/>
          </w:tcPr>
          <w:p>
            <w:r>
              <w:rPr>
                <w:b/>
                <w:bCs/>
                <w:color w:val="FFFFFF"/>
              </w:rPr>
              <w:t xml:space="preserve">Accuracy</w:t>
            </w:r>
          </w:p>
        </w:tc>
        <w:tc>
          <w:tcPr>
            <w:tcW w:type="dxa" w:w="2200"/>
            <w:shd w:fill="1A3C6E" w:val="clear"/>
          </w:tcPr>
          <w:p>
            <w:r>
              <w:rPr>
                <w:b/>
                <w:bCs/>
                <w:color w:val="FFFFFF"/>
              </w:rPr>
              <w:t xml:space="preserve">Precision</w:t>
            </w:r>
          </w:p>
        </w:tc>
        <w:tc>
          <w:tcPr>
            <w:tcW w:type="dxa" w:w="2200"/>
            <w:shd w:fill="1A3C6E" w:val="clear"/>
          </w:tcPr>
          <w:p>
            <w:r>
              <w:rPr>
                <w:b/>
                <w:bCs/>
                <w:color w:val="FFFFFF"/>
              </w:rPr>
              <w:t xml:space="preserve">Recall</w:t>
            </w:r>
          </w:p>
        </w:tc>
        <w:tc>
          <w:tcPr>
            <w:tcW w:type="dxa" w:w="2200"/>
            <w:shd w:fill="1A3C6E" w:val="clear"/>
          </w:tcPr>
          <w:p>
            <w:r>
              <w:rPr>
                <w:b/>
                <w:bCs/>
                <w:color w:val="FFFFFF"/>
              </w:rPr>
              <w:t xml:space="preserve">F1-Score</w:t>
            </w:r>
          </w:p>
        </w:tc>
      </w:tr>
      <w:tr>
        <w:tc>
          <w:tcPr>
            <w:tcW w:type="dxa" w:w="2200"/>
          </w:tcPr>
          <w:p>
            <w:r>
              <w:rPr>
                <w:b w:val="false"/>
                <w:bCs w:val="false"/>
                <w:color w:val="000000"/>
              </w:rPr>
              <w:t xml:space="preserve">Decision Tree</w:t>
            </w:r>
          </w:p>
        </w:tc>
        <w:tc>
          <w:tcPr>
            <w:tcW w:type="dxa" w:w="2200"/>
          </w:tcPr>
          <w:p>
            <w:r>
              <w:rPr>
                <w:b w:val="false"/>
                <w:bCs w:val="false"/>
                <w:color w:val="000000"/>
              </w:rPr>
              <w:t xml:space="preserve">73.4%</w:t>
            </w:r>
          </w:p>
        </w:tc>
        <w:tc>
          <w:tcPr>
            <w:tcW w:type="dxa" w:w="2200"/>
          </w:tcPr>
          <w:p>
            <w:r>
              <w:rPr>
                <w:b w:val="false"/>
                <w:bCs w:val="false"/>
                <w:color w:val="000000"/>
              </w:rPr>
              <w:t xml:space="preserve">83.0%</w:t>
            </w:r>
          </w:p>
        </w:tc>
        <w:tc>
          <w:tcPr>
            <w:tcW w:type="dxa" w:w="2200"/>
          </w:tcPr>
          <w:p>
            <w:r>
              <w:rPr>
                <w:b w:val="false"/>
                <w:bCs w:val="false"/>
                <w:color w:val="000000"/>
              </w:rPr>
              <w:t xml:space="preserve">79.3%</w:t>
            </w:r>
          </w:p>
        </w:tc>
        <w:tc>
          <w:tcPr>
            <w:tcW w:type="dxa" w:w="2200"/>
          </w:tcPr>
          <w:p>
            <w:r>
              <w:rPr>
                <w:b w:val="false"/>
                <w:bCs w:val="false"/>
                <w:color w:val="000000"/>
              </w:rPr>
              <w:t xml:space="preserve">81.1%</w:t>
            </w:r>
          </w:p>
        </w:tc>
      </w:tr>
      <w:tr>
        <w:tc>
          <w:tcPr>
            <w:tcW w:type="dxa" w:w="2200"/>
          </w:tcPr>
          <w:p>
            <w:r>
              <w:rPr>
                <w:b w:val="false"/>
                <w:bCs w:val="false"/>
                <w:color w:val="000000"/>
              </w:rPr>
              <w:t xml:space="preserve">Random Forest</w:t>
            </w:r>
          </w:p>
        </w:tc>
        <w:tc>
          <w:tcPr>
            <w:tcW w:type="dxa" w:w="2200"/>
          </w:tcPr>
          <w:p>
            <w:r>
              <w:rPr>
                <w:b w:val="false"/>
                <w:bCs w:val="false"/>
                <w:color w:val="000000"/>
              </w:rPr>
              <w:t xml:space="preserve">79.9%</w:t>
            </w:r>
          </w:p>
        </w:tc>
        <w:tc>
          <w:tcPr>
            <w:tcW w:type="dxa" w:w="2200"/>
          </w:tcPr>
          <w:p>
            <w:r>
              <w:rPr>
                <w:b w:val="false"/>
                <w:bCs w:val="false"/>
                <w:color w:val="000000"/>
              </w:rPr>
              <w:t xml:space="preserve">84.5%</w:t>
            </w:r>
          </w:p>
        </w:tc>
        <w:tc>
          <w:tcPr>
            <w:tcW w:type="dxa" w:w="2200"/>
          </w:tcPr>
          <w:p>
            <w:r>
              <w:rPr>
                <w:b w:val="false"/>
                <w:bCs w:val="false"/>
                <w:color w:val="000000"/>
              </w:rPr>
              <w:t xml:space="preserve">88.3%</w:t>
            </w:r>
          </w:p>
        </w:tc>
        <w:tc>
          <w:tcPr>
            <w:tcW w:type="dxa" w:w="2200"/>
          </w:tcPr>
          <w:p>
            <w:r>
              <w:rPr>
                <w:b w:val="false"/>
                <w:bCs w:val="false"/>
                <w:color w:val="000000"/>
              </w:rPr>
              <w:t xml:space="preserve">86.3%</w:t>
            </w:r>
          </w:p>
        </w:tc>
      </w:tr>
      <w:tr>
        <w:tc>
          <w:tcPr>
            <w:tcW w:type="dxa" w:w="2200"/>
          </w:tcPr>
          <w:p>
            <w:r>
              <w:rPr>
                <w:b w:val="false"/>
                <w:bCs w:val="false"/>
                <w:color w:val="000000"/>
              </w:rPr>
              <w:t xml:space="preserve">Logistic Regression</w:t>
            </w:r>
          </w:p>
        </w:tc>
        <w:tc>
          <w:tcPr>
            <w:tcW w:type="dxa" w:w="2200"/>
          </w:tcPr>
          <w:p>
            <w:r>
              <w:rPr>
                <w:b w:val="false"/>
                <w:bCs w:val="false"/>
                <w:color w:val="000000"/>
              </w:rPr>
              <w:t xml:space="preserve">83.8%</w:t>
            </w:r>
          </w:p>
        </w:tc>
        <w:tc>
          <w:tcPr>
            <w:tcW w:type="dxa" w:w="2200"/>
          </w:tcPr>
          <w:p>
            <w:r>
              <w:rPr>
                <w:b w:val="false"/>
                <w:bCs w:val="false"/>
                <w:color w:val="000000"/>
              </w:rPr>
              <w:t xml:space="preserve">82.6%</w:t>
            </w:r>
          </w:p>
        </w:tc>
        <w:tc>
          <w:tcPr>
            <w:tcW w:type="dxa" w:w="2200"/>
          </w:tcPr>
          <w:p>
            <w:r>
              <w:rPr>
                <w:b w:val="false"/>
                <w:bCs w:val="false"/>
                <w:color w:val="000000"/>
              </w:rPr>
              <w:t xml:space="preserve">98.2%</w:t>
            </w:r>
          </w:p>
        </w:tc>
        <w:tc>
          <w:tcPr>
            <w:tcW w:type="dxa" w:w="2200"/>
          </w:tcPr>
          <w:p>
            <w:r>
              <w:rPr>
                <w:b w:val="false"/>
                <w:bCs w:val="false"/>
                <w:color w:val="000000"/>
              </w:rPr>
              <w:t xml:space="preserve">89.7%</w:t>
            </w:r>
          </w:p>
        </w:tc>
      </w:tr>
    </w:tbl>
    <w:p>
      <w:pPr>
        <w:spacing w:after="200"/>
      </w:pPr>
    </w:p>
    <w:p>
      <w:pPr>
        <w:pStyle w:val="Heading2"/>
        <w:spacing w:after="120" w:before="250"/>
      </w:pPr>
      <w:r>
        <w:t xml:space="preserve">5.1 Interpreting the Results</w:t>
      </w:r>
    </w:p>
    <w:p>
      <w:pPr>
        <w:spacing w:after="160"/>
      </w:pPr>
      <w:r>
        <w:t xml:space="preserve">On the surface, Logistic Regression achieved the highest overall accuracy (83.8%) and F1-score (89.7%). However, a closer look at each model's confusion matrix reveals a more important pattern for a credit risk system: how well each model identifies applicants who should genuinely be rejected.</w:t>
      </w:r>
    </w:p>
    <w:p>
      <w:pPr>
        <w:pStyle w:val="ListParagraph"/>
        <w:numPr>
          <w:ilvl w:val="0"/>
          <w:numId w:val="1"/>
        </w:numPr>
        <w:spacing w:after="100"/>
      </w:pPr>
      <w:r>
        <w:t xml:space="preserve">Decision Tree: correctly identified 25 of 43 actually-rejected applicants (58.1% recall on the Rejected class).</w:t>
      </w:r>
    </w:p>
    <w:p>
      <w:pPr>
        <w:pStyle w:val="ListParagraph"/>
        <w:numPr>
          <w:ilvl w:val="0"/>
          <w:numId w:val="1"/>
        </w:numPr>
        <w:spacing w:after="100"/>
      </w:pPr>
      <w:r>
        <w:t xml:space="preserve">Random Forest: correctly identified 25 of 43 actually-rejected applicants (58.1% recall on the Rejected class), while also correctly approving 98 of 111 genuinely approved applicants.</w:t>
      </w:r>
    </w:p>
    <w:p>
      <w:pPr>
        <w:pStyle w:val="ListParagraph"/>
        <w:numPr>
          <w:ilvl w:val="0"/>
          <w:numId w:val="1"/>
        </w:numPr>
        <w:spacing w:after="100"/>
      </w:pPr>
      <w:r>
        <w:t xml:space="preserve">Logistic Regression: correctly identified only 20 of 43 actually-rejected applicants (46.5% recall on the Rejected class) — meaning it would incorrectly approve a substantially larger share of risky applicants.</w:t>
      </w:r>
    </w:p>
    <w:p>
      <w:pPr>
        <w:spacing w:after="160"/>
      </w:pPr>
      <w:r>
        <w:t xml:space="preserve">For a Credit Risk Analysis System, failing to identify a genuinely risky applicant (a false approval) is typically more costly than being overly cautious with a creditworthy applicant (a false rejection). On this basis, Random Forest was selected as the final model for the dashboard and recommendation system, despite its slightly lower headline accuracy, because it strikes a better balance between overall performance and risk identification. Logistic Regression's coefficients remain a useful supplementary tool for explaining individual rejections, given their inherent interpretability.</w:t>
      </w:r>
    </w:p>
    <w:p>
      <w:pPr>
        <w:spacing w:after="160"/>
      </w:pPr>
      <w:r>
        <w:t xml:space="preserve">The trained Random Forest model and the fitted StandardScaler were serialized using joblib (loan_model.pkl and scaler.pkl) so that the deployed dashboard can load a ready-to-use model instantly rather than retraining on every use — a standard practice for production machine learning systems.</w:t>
      </w:r>
    </w:p>
    <w:p>
      <w:pPr>
        <w:pStyle w:val="Heading1"/>
        <w:spacing w:after="150" w:before="300"/>
      </w:pPr>
      <w:r>
        <w:t xml:space="preserve">6. Module 4: Risk Score Dashboard</w:t>
      </w:r>
    </w:p>
    <w:p>
      <w:pPr>
        <w:spacing w:after="160"/>
      </w:pPr>
      <w:r>
        <w:t xml:space="preserve">The dashboard was built using Streamlit and deployed to run locally, providing an interactive interface for both individual applicant assessment and dataset-wide exploration.</w:t>
      </w:r>
    </w:p>
    <w:p>
      <w:pPr>
        <w:pStyle w:val="Heading2"/>
        <w:spacing w:after="120" w:before="250"/>
      </w:pPr>
      <w:r>
        <w:t xml:space="preserve">6.1 Applicant Input &amp; Prediction</w:t>
      </w:r>
    </w:p>
    <w:p>
      <w:pPr>
        <w:spacing w:after="160"/>
      </w:pPr>
      <w:r>
        <w:t xml:space="preserve">A sidebar form collects an applicant's Gender, Marital Status, Dependents, Education, Self-Employment status, Applicant Income, Coapplicant Income, Loan Amount, Loan Term, Credit History, and Property Area. These inputs are encoded to match the model's training format, scaled using the saved StandardScaler, and passed to the trained Random Forest model to generate a live prediction.</w:t>
      </w:r>
    </w:p>
    <w:p>
      <w:pPr>
        <w:spacing w:after="160"/>
      </w:pPr>
      <w:r>
        <w:t xml:space="preserve">The dashboard displays the approval probability, a colour-coded risk category (Low / Medium / High Risk), and the final recommendation, along with the underlying probability thresholds used to determine each tier.</w:t>
      </w:r>
    </w:p>
    <w:p>
      <w:pPr>
        <w:pStyle w:val="Heading2"/>
        <w:spacing w:after="120" w:before="250"/>
      </w:pPr>
      <w:r>
        <w:t xml:space="preserve">6.2 This Applicant's Analysis</w:t>
      </w:r>
    </w:p>
    <w:p>
      <w:pPr>
        <w:spacing w:after="160"/>
      </w:pPr>
      <w:r>
        <w:t xml:space="preserve">For the specific applicant entered, the dashboard shows how their income and requested loan amount compare to the dataset average, their income percentile relative to all applicants, an approval-probability gauge, their income-to-loan ratio with a qualitative interpretation of repayment burden, a comparison against the historical approval rate of similar applicants (matched on Credit History and Property Area), and a feature-importance chart showing which factors most influenced the prediction.</w:t>
      </w:r>
    </w:p>
    <w:p>
      <w:pPr>
        <w:pStyle w:val="Heading2"/>
        <w:spacing w:after="120" w:before="250"/>
      </w:pPr>
      <w:r>
        <w:t xml:space="preserve">6.3 Dataset Insights</w:t>
      </w:r>
    </w:p>
    <w:p>
      <w:pPr>
        <w:spacing w:after="160"/>
      </w:pPr>
      <w:r>
        <w:t xml:space="preserve">A tabbed section presents dataset-wide visualizations: applicant income distribution, loan approval outcomes by credit history, and loan status by property area — allowing a user to explore the broader lending population rather than only a single applicant.</w:t>
      </w:r>
    </w:p>
    <w:p>
      <w:pPr>
        <w:pStyle w:val="Heading2"/>
        <w:spacing w:after="120" w:before="250"/>
      </w:pPr>
      <w:r>
        <w:t xml:space="preserve">6.4 All Customers Overview</w:t>
      </w:r>
    </w:p>
    <w:p>
      <w:pPr>
        <w:spacing w:after="160"/>
      </w:pPr>
      <w:r>
        <w:t xml:space="preserve">A filterable, sortable table displays the full, cleaned dataset with human-readable labels (e.g., "Approved"/"Rejected" instead of Y/N, "Good"/"Bad" instead of 1/0), allowing a user to browse and filter customer records by property area.</w:t>
      </w:r>
    </w:p>
    <w:p>
      <w:pPr>
        <w:pStyle w:val="Heading1"/>
        <w:spacing w:after="150" w:before="300"/>
      </w:pPr>
      <w:r>
        <w:t xml:space="preserve">7. Module 5: Final Recommendation System</w:t>
      </w:r>
    </w:p>
    <w:p>
      <w:pPr>
        <w:spacing w:after="160"/>
      </w:pPr>
      <w:r>
        <w:t xml:space="preserve">The recommendation system is integrated directly into the dashboard rather than built as a separate application, since the recommendation is derived from — and must always remain consistent with — the same prediction and risk score shown to the user. This mirrors how such a system would function in a real lending workflow, where risk scoring and recommendation are part of a single decision process rather than disconnected tools.</w:t>
      </w:r>
    </w:p>
    <w:p>
      <w:pPr>
        <w:spacing w:after="160"/>
      </w:pPr>
      <w:r>
        <w:t xml:space="preserve">Based on the model's predicted approval probability, each applicant is classified into one of three recommendation tiers:</w:t>
      </w:r>
    </w:p>
    <w:p>
      <w:pPr>
        <w:pStyle w:val="ListParagraph"/>
        <w:numPr>
          <w:ilvl w:val="0"/>
          <w:numId w:val="1"/>
        </w:numPr>
        <w:spacing w:after="100"/>
      </w:pPr>
      <w:r>
        <w:t xml:space="preserve">Approve Loan — predicted approval probability of 80% or higher</w:t>
      </w:r>
    </w:p>
    <w:p>
      <w:pPr>
        <w:pStyle w:val="ListParagraph"/>
        <w:numPr>
          <w:ilvl w:val="0"/>
          <w:numId w:val="1"/>
        </w:numPr>
        <w:spacing w:after="100"/>
      </w:pPr>
      <w:r>
        <w:t xml:space="preserve">Review Manually — predicted approval probability between 40% and 79%</w:t>
      </w:r>
    </w:p>
    <w:p>
      <w:pPr>
        <w:pStyle w:val="ListParagraph"/>
        <w:numPr>
          <w:ilvl w:val="0"/>
          <w:numId w:val="1"/>
        </w:numPr>
        <w:spacing w:after="100"/>
      </w:pPr>
      <w:r>
        <w:t xml:space="preserve">Reject Application — predicted approval probability below 40%</w:t>
      </w:r>
    </w:p>
    <w:p>
      <w:pPr>
        <w:spacing w:after="160"/>
      </w:pPr>
      <w:r>
        <w:t xml:space="preserve">This tiered approach avoids a rigid binary accept/reject decision, instead flagging borderline cases for human review — reflecting how real lending institutions balance automation with human oversight for uncertain cases.</w:t>
      </w:r>
    </w:p>
    <w:p>
      <w:pPr>
        <w:pStyle w:val="Heading1"/>
        <w:spacing w:after="150" w:before="300"/>
      </w:pPr>
      <w:r>
        <w:t xml:space="preserve">8. Limitations</w:t>
      </w:r>
    </w:p>
    <w:p>
      <w:pPr>
        <w:pStyle w:val="ListParagraph"/>
        <w:numPr>
          <w:ilvl w:val="0"/>
          <w:numId w:val="1"/>
        </w:numPr>
        <w:spacing w:after="100"/>
      </w:pPr>
      <w:r>
        <w:t xml:space="preserve">Dataset size: the dataset contains only 614 records, which is small relative to real-world lending datasets. Model performance and generalizability could improve substantially with a larger, more diverse sample.</w:t>
      </w:r>
    </w:p>
    <w:p>
      <w:pPr>
        <w:pStyle w:val="ListParagraph"/>
        <w:numPr>
          <w:ilvl w:val="0"/>
          <w:numId w:val="1"/>
        </w:numPr>
        <w:spacing w:after="100"/>
      </w:pPr>
      <w:r>
        <w:t xml:space="preserve">Dependents capping: the dataset records "3 or more" dependents as a single category ("3+"), which was encoded as the numeric value 3. As a result, the model has not been trained on applicants with more than 3 dependents, and the dashboard's input form is deliberately restricted to the 0–3 range to avoid extrapolating beyond the training data.</w:t>
      </w:r>
    </w:p>
    <w:p>
      <w:pPr>
        <w:pStyle w:val="ListParagraph"/>
        <w:numPr>
          <w:ilvl w:val="0"/>
          <w:numId w:val="1"/>
        </w:numPr>
        <w:spacing w:after="100"/>
      </w:pPr>
      <w:r>
        <w:t xml:space="preserve">Proxy target variable: this project uses Loan_Status (the historical approval decision) as a proxy for repayment risk, since the dataset does not track actual post-disbursement repayment or default outcomes. This is a common simplification in academic credit-risk projects, based on the assumption that approval decisions are themselves influenced by predicted repayment likelihood (e.g., via Credit_History). A production system would ideally be trained on actual default/repayment outcomes rather than approval decisions alone.</w:t>
      </w:r>
    </w:p>
    <w:p>
      <w:pPr>
        <w:pStyle w:val="ListParagraph"/>
        <w:numPr>
          <w:ilvl w:val="0"/>
          <w:numId w:val="1"/>
        </w:numPr>
        <w:spacing w:after="100"/>
      </w:pPr>
      <w:r>
        <w:t xml:space="preserve">Class imbalance: the dataset is moderately imbalanced (68.7% Approved vs. 31.3% Rejected), which was accounted for by evaluating models on precision, recall, and F1-score rather than accuracy alone.</w:t>
      </w:r>
    </w:p>
    <w:p>
      <w:pPr>
        <w:pStyle w:val="ListParagraph"/>
        <w:numPr>
          <w:ilvl w:val="0"/>
          <w:numId w:val="1"/>
        </w:numPr>
        <w:spacing w:after="100"/>
      </w:pPr>
      <w:r>
        <w:t xml:space="preserve">Feature exclusion: Total_Income was engineered and explored during EDA but excluded from the final model, as it is a near-exact linear combination of ApplicantIncome and CoapplicantIncome (already included individually) and would introduce redundancy without adding new predictive information.</w:t>
      </w:r>
    </w:p>
    <w:p>
      <w:pPr>
        <w:pStyle w:val="ListParagraph"/>
        <w:numPr>
          <w:ilvl w:val="0"/>
          <w:numId w:val="1"/>
        </w:numPr>
        <w:spacing w:after="100"/>
      </w:pPr>
      <w:r>
        <w:t xml:space="preserve">Scope: per the project's defined scope, deep learning models, real banking system integrations, complex financial calculations, and large-scale cloud infrastructure were intentionally not used, keeping the system focused on a clean, functional prediction and recommendation pipeline.</w:t>
      </w:r>
    </w:p>
    <w:p>
      <w:pPr>
        <w:pStyle w:val="Heading1"/>
        <w:spacing w:after="150" w:before="300"/>
      </w:pPr>
      <w:r>
        <w:t xml:space="preserve">9. Conclusion &amp; Future Work</w:t>
      </w:r>
    </w:p>
    <w:p>
      <w:pPr>
        <w:spacing w:after="160"/>
      </w:pPr>
      <w:r>
        <w:t xml:space="preserve">This project successfully implements an end-to-end Credit Risk Analysis System, covering data preprocessing, exploratory analysis, model comparison, and deployment as an interactive dashboard with an integrated recommendation engine. The analysis consistently identified Credit History as the dominant driver of loan approval, far outweighing income, loan amount, and demographic factors — a finding validated across multiple independent charts and the correlation analysis. Random Forest was selected as the final model, prioritizing its stronger ability to correctly identify genuinely risky applicants over a marginal gain in overall accuracy from Logistic Regression.</w:t>
      </w:r>
    </w:p>
    <w:p>
      <w:pPr>
        <w:spacing w:after="160"/>
      </w:pPr>
      <w:r>
        <w:t xml:space="preserve">Future improvements could include training on a larger and more recent dataset with actual repayment/default outcomes rather than approval decisions, incorporating additional financial indicators (e.g., existing debt, employment tenure), applying cross-validation for more robust performance estimates, and deploying the dashboard to a public cloud environment such as Streamlit Community Cloud for wider accessibility.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2026-07-29T10:10:04.728Z</dcterms:created>
  <dcterms:modified xsi:type="dcterms:W3CDTF">2026-07-29T10:10:04.748Z</dcterms:modified>
</cp:coreProperties>
</file>

<file path=docProps/custom.xml><?xml version="1.0" encoding="utf-8"?>
<Properties xmlns="http://schemas.openxmlformats.org/officeDocument/2006/custom-properties" xmlns:vt="http://schemas.openxmlformats.org/officeDocument/2006/docPropsVTypes"/>
</file>