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625926">
      <w:pPr>
        <w:spacing w:before="1200"/>
        <w:jc w:val="center"/>
        <w:rPr>
          <w:color w:val="000000" w:themeColor="text1"/>
          <w14:textFill>
            <w14:solidFill>
              <w14:schemeClr w14:val="tx1"/>
            </w14:solidFill>
          </w14:textFill>
        </w:rPr>
      </w:pPr>
      <w:r>
        <w:rPr>
          <w:rFonts w:ascii="Times New Roman" w:hAnsi="Times New Roman"/>
          <w:b/>
          <w:color w:val="000000" w:themeColor="text1"/>
          <w:sz w:val="40"/>
          <w14:textFill>
            <w14:solidFill>
              <w14:schemeClr w14:val="tx1"/>
            </w14:solidFill>
          </w14:textFill>
        </w:rPr>
        <w:t>A PROJECT REPORT</w:t>
      </w:r>
    </w:p>
    <w:p w14:paraId="1C266188">
      <w:pPr>
        <w:jc w:val="center"/>
        <w:rPr>
          <w:color w:val="000000" w:themeColor="text1"/>
          <w14:textFill>
            <w14:solidFill>
              <w14:schemeClr w14:val="tx1"/>
            </w14:solidFill>
          </w14:textFill>
        </w:rPr>
      </w:pPr>
      <w:r>
        <w:rPr>
          <w:rFonts w:ascii="Times New Roman" w:hAnsi="Times New Roman"/>
          <w:color w:val="000000" w:themeColor="text1"/>
          <w:sz w:val="28"/>
          <w14:textFill>
            <w14:solidFill>
              <w14:schemeClr w14:val="tx1"/>
            </w14:solidFill>
          </w14:textFill>
        </w:rPr>
        <w:t>on</w:t>
      </w:r>
    </w:p>
    <w:p w14:paraId="07D0C8B3">
      <w:pPr>
        <w:jc w:val="center"/>
        <w:rPr>
          <w:color w:val="000000" w:themeColor="text1"/>
          <w14:textFill>
            <w14:solidFill>
              <w14:schemeClr w14:val="tx1"/>
            </w14:solidFill>
          </w14:textFill>
        </w:rPr>
      </w:pPr>
      <w:r>
        <w:rPr>
          <w:rFonts w:ascii="Times New Roman" w:hAnsi="Times New Roman"/>
          <w:b/>
          <w:color w:val="000000" w:themeColor="text1"/>
          <w:sz w:val="40"/>
          <w14:textFill>
            <w14:solidFill>
              <w14:schemeClr w14:val="tx1"/>
            </w14:solidFill>
          </w14:textFill>
        </w:rPr>
        <w:t>PennyWise: AI-Powered Personal Finance &amp; Behavioral Economics Platform</w:t>
      </w:r>
    </w:p>
    <w:p w14:paraId="6EAA0419">
      <w:pPr>
        <w:jc w:val="center"/>
        <w:rPr>
          <w:color w:val="000000" w:themeColor="text1"/>
          <w14:textFill>
            <w14:solidFill>
              <w14:schemeClr w14:val="tx1"/>
            </w14:solidFill>
          </w14:textFill>
        </w:rPr>
      </w:pPr>
      <w:r>
        <w:rPr>
          <w:rFonts w:ascii="Times New Roman" w:hAnsi="Times New Roman"/>
          <w:color w:val="000000" w:themeColor="text1"/>
          <w:sz w:val="26"/>
          <w14:textFill>
            <w14:solidFill>
              <w14:schemeClr w14:val="tx1"/>
            </w14:solidFill>
          </w14:textFill>
        </w:rPr>
        <w:br w:type="textWrapping"/>
      </w:r>
      <w:r>
        <w:rPr>
          <w:rFonts w:ascii="Times New Roman" w:hAnsi="Times New Roman"/>
          <w:color w:val="000000" w:themeColor="text1"/>
          <w:sz w:val="26"/>
          <w14:textFill>
            <w14:solidFill>
              <w14:schemeClr w14:val="tx1"/>
            </w14:solidFill>
          </w14:textFill>
        </w:rPr>
        <w:t>Submitted to</w:t>
      </w:r>
      <w:r>
        <w:rPr>
          <w:rFonts w:ascii="Times New Roman" w:hAnsi="Times New Roman"/>
          <w:color w:val="000000" w:themeColor="text1"/>
          <w:sz w:val="26"/>
          <w14:textFill>
            <w14:solidFill>
              <w14:schemeClr w14:val="tx1"/>
            </w14:solidFill>
          </w14:textFill>
        </w:rPr>
        <w:br w:type="textWrapping"/>
      </w:r>
      <w:r>
        <w:rPr>
          <w:rFonts w:ascii="Times New Roman" w:hAnsi="Times New Roman"/>
          <w:b/>
          <w:color w:val="000000" w:themeColor="text1"/>
          <w:sz w:val="26"/>
          <w14:textFill>
            <w14:solidFill>
              <w14:schemeClr w14:val="tx1"/>
            </w14:solidFill>
          </w14:textFill>
        </w:rPr>
        <w:t>KIIT Deemed to be University</w:t>
      </w:r>
      <w:r>
        <w:rPr>
          <w:rFonts w:ascii="Times New Roman" w:hAnsi="Times New Roman"/>
          <w:b/>
          <w:color w:val="000000" w:themeColor="text1"/>
          <w:sz w:val="26"/>
          <w14:textFill>
            <w14:solidFill>
              <w14:schemeClr w14:val="tx1"/>
            </w14:solidFill>
          </w14:textFill>
        </w:rPr>
        <w:br w:type="textWrapping"/>
      </w:r>
      <w:r>
        <w:rPr>
          <w:rFonts w:ascii="Times New Roman" w:hAnsi="Times New Roman"/>
          <w:color w:val="000000" w:themeColor="text1"/>
          <w:sz w:val="26"/>
          <w14:textFill>
            <w14:solidFill>
              <w14:schemeClr w14:val="tx1"/>
            </w14:solidFill>
          </w14:textFill>
        </w:rPr>
        <w:t>In Partial Fulfillment of the Requirement for the Award of</w:t>
      </w:r>
      <w:r>
        <w:rPr>
          <w:rFonts w:ascii="Times New Roman" w:hAnsi="Times New Roman"/>
          <w:color w:val="000000" w:themeColor="text1"/>
          <w:sz w:val="26"/>
          <w14:textFill>
            <w14:solidFill>
              <w14:schemeClr w14:val="tx1"/>
            </w14:solidFill>
          </w14:textFill>
        </w:rPr>
        <w:br w:type="textWrapping"/>
      </w:r>
      <w:r>
        <w:rPr>
          <w:rFonts w:ascii="Times New Roman" w:hAnsi="Times New Roman"/>
          <w:b/>
          <w:color w:val="000000" w:themeColor="text1"/>
          <w:sz w:val="26"/>
          <w14:textFill>
            <w14:solidFill>
              <w14:schemeClr w14:val="tx1"/>
            </w14:solidFill>
          </w14:textFill>
        </w:rPr>
        <w:t>BACHELOR'S DEGREE IN</w:t>
      </w:r>
      <w:r>
        <w:rPr>
          <w:rFonts w:ascii="Times New Roman" w:hAnsi="Times New Roman"/>
          <w:b/>
          <w:color w:val="000000" w:themeColor="text1"/>
          <w:sz w:val="26"/>
          <w14:textFill>
            <w14:solidFill>
              <w14:schemeClr w14:val="tx1"/>
            </w14:solidFill>
          </w14:textFill>
        </w:rPr>
        <w:br w:type="textWrapping"/>
      </w:r>
      <w:r>
        <w:rPr>
          <w:rFonts w:ascii="Times New Roman" w:hAnsi="Times New Roman"/>
          <w:b/>
          <w:color w:val="000000" w:themeColor="text1"/>
          <w:sz w:val="26"/>
          <w14:textFill>
            <w14:solidFill>
              <w14:schemeClr w14:val="tx1"/>
            </w14:solidFill>
          </w14:textFill>
        </w:rPr>
        <w:t>COMPUTER SCIENCE AND ENGINEERING</w:t>
      </w:r>
    </w:p>
    <w:p w14:paraId="65EF6562">
      <w:pPr>
        <w:spacing w:before="500"/>
        <w:jc w:val="center"/>
        <w:rPr>
          <w:color w:val="000000" w:themeColor="text1"/>
          <w14:textFill>
            <w14:solidFill>
              <w14:schemeClr w14:val="tx1"/>
            </w14:solidFill>
          </w14:textFill>
        </w:rPr>
      </w:pPr>
      <w:r>
        <w:rPr>
          <w:rFonts w:ascii="Times New Roman" w:hAnsi="Times New Roman"/>
          <w:b/>
          <w:color w:val="000000" w:themeColor="text1"/>
          <w:sz w:val="26"/>
          <w14:textFill>
            <w14:solidFill>
              <w14:schemeClr w14:val="tx1"/>
            </w14:solidFill>
          </w14:textFill>
        </w:rPr>
        <w:t>BY</w:t>
      </w:r>
    </w:p>
    <w:p w14:paraId="0BF794C1">
      <w:pPr>
        <w:jc w:val="center"/>
        <w:rPr>
          <w:color w:val="000000" w:themeColor="text1"/>
          <w14:textFill>
            <w14:solidFill>
              <w14:schemeClr w14:val="tx1"/>
            </w14:solidFill>
          </w14:textFill>
        </w:rPr>
      </w:pPr>
      <w:r>
        <w:rPr>
          <w:rFonts w:ascii="Times New Roman" w:hAnsi="Times New Roman"/>
          <w:b/>
          <w:color w:val="000000" w:themeColor="text1"/>
          <w:sz w:val="26"/>
          <w14:textFill>
            <w14:solidFill>
              <w14:schemeClr w14:val="tx1"/>
            </w14:solidFill>
          </w14:textFill>
        </w:rPr>
        <w:t>Sneha</w:t>
      </w:r>
      <w:r>
        <w:rPr>
          <w:rFonts w:ascii="Times New Roman" w:hAnsi="Times New Roman"/>
          <w:b/>
          <w:color w:val="000000" w:themeColor="text1"/>
          <w:sz w:val="26"/>
          <w14:textFill>
            <w14:solidFill>
              <w14:schemeClr w14:val="tx1"/>
            </w14:solidFill>
          </w14:textFill>
        </w:rPr>
        <w:br w:type="textWrapping"/>
      </w:r>
      <w:r>
        <w:rPr>
          <w:rFonts w:ascii="Times New Roman" w:hAnsi="Times New Roman"/>
          <w:b/>
          <w:color w:val="000000" w:themeColor="text1"/>
          <w:sz w:val="26"/>
          <w14:textFill>
            <w14:solidFill>
              <w14:schemeClr w14:val="tx1"/>
            </w14:solidFill>
          </w14:textFill>
        </w:rPr>
        <w:t>2105152004</w:t>
      </w:r>
    </w:p>
    <w:p w14:paraId="6AFDF6A2">
      <w:pPr>
        <w:spacing w:before="400"/>
        <w:jc w:val="center"/>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INDIVIDUAL PROJECT</w:t>
      </w:r>
    </w:p>
    <w:p w14:paraId="67498080">
      <w:pPr>
        <w:jc w:val="center"/>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School of Computer Engineering</w:t>
      </w: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KIIT Deemed to be University</w:t>
      </w: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Bhubaneswar, Odisha - 751024</w:t>
      </w: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August 2026</w:t>
      </w:r>
    </w:p>
    <w:p w14:paraId="1928A4DB">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25727BE">
      <w:pPr>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CERTIFICATE</w:t>
      </w:r>
    </w:p>
    <w:p w14:paraId="1AC6EF9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This is to certify that the project entitled "PennyWise: AI-Powered Personal Finance &amp; Behavioral Economics Platform" is submitted by Sneha, 2105152004, in partial fulfillment of the requirements for the award of the Bachelor's Degree in Computer Science and Engineering at KIIT Deemed to be University.</w:t>
      </w:r>
    </w:p>
    <w:p w14:paraId="432B1CD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is an individual work developed by the student. No group contribution is applicable.</w:t>
      </w:r>
    </w:p>
    <w:p w14:paraId="4FCC672F">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guide / supervisor information is intentionally left as a placeholder because the submitted materials do not specify a supervisor.</w:t>
      </w:r>
    </w:p>
    <w:p w14:paraId="79053BF0">
      <w:pPr>
        <w:spacing w:before="700"/>
        <w:rPr>
          <w:color w:val="000000" w:themeColor="text1"/>
          <w14:textFill>
            <w14:solidFill>
              <w14:schemeClr w14:val="tx1"/>
            </w14:solidFill>
          </w14:textFill>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0"/>
        <w:gridCol w:w="3120"/>
        <w:gridCol w:w="3120"/>
      </w:tblGrid>
      <w:tr w14:paraId="27F8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shd w:val="clear" w:color="auto" w:fill="D9E2F3"/>
          </w:tcPr>
          <w:p w14:paraId="6824963C">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Role</w:t>
            </w:r>
          </w:p>
        </w:tc>
        <w:tc>
          <w:tcPr>
            <w:tcW w:w="3120" w:type="dxa"/>
            <w:shd w:val="clear" w:color="auto" w:fill="D9E2F3"/>
          </w:tcPr>
          <w:p w14:paraId="5CE99E94">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Name / Signature</w:t>
            </w:r>
          </w:p>
        </w:tc>
        <w:tc>
          <w:tcPr>
            <w:tcW w:w="3120" w:type="dxa"/>
            <w:shd w:val="clear" w:color="auto" w:fill="D9E2F3"/>
          </w:tcPr>
          <w:p w14:paraId="2D3BD92C">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Date</w:t>
            </w:r>
          </w:p>
        </w:tc>
      </w:tr>
      <w:tr w14:paraId="787F1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tcPr>
          <w:p w14:paraId="265F92F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Project Guide / Supervisor</w:t>
            </w:r>
          </w:p>
        </w:tc>
        <w:tc>
          <w:tcPr>
            <w:tcW w:w="3120" w:type="dxa"/>
          </w:tcPr>
          <w:p w14:paraId="21A3E46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Faculty Project Supervisor</w:t>
            </w:r>
          </w:p>
        </w:tc>
        <w:tc>
          <w:tcPr>
            <w:tcW w:w="3120" w:type="dxa"/>
          </w:tcPr>
          <w:p w14:paraId="4F854EC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August 13, 2026</w:t>
            </w:r>
          </w:p>
        </w:tc>
      </w:tr>
      <w:tr w14:paraId="14D8D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tcPr>
          <w:p w14:paraId="06752F6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Student</w:t>
            </w:r>
          </w:p>
        </w:tc>
        <w:tc>
          <w:tcPr>
            <w:tcW w:w="3120" w:type="dxa"/>
          </w:tcPr>
          <w:p w14:paraId="4EA8F67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Sneha</w:t>
            </w:r>
          </w:p>
        </w:tc>
        <w:tc>
          <w:tcPr>
            <w:tcW w:w="3120" w:type="dxa"/>
          </w:tcPr>
          <w:p w14:paraId="3B93016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August 13, 2026</w:t>
            </w:r>
          </w:p>
        </w:tc>
      </w:tr>
    </w:tbl>
    <w:p w14:paraId="2DA45F4F">
      <w:pPr>
        <w:rPr>
          <w:color w:val="000000" w:themeColor="text1"/>
          <w14:textFill>
            <w14:solidFill>
              <w14:schemeClr w14:val="tx1"/>
            </w14:solidFill>
          </w14:textFill>
        </w:rPr>
      </w:pPr>
    </w:p>
    <w:p w14:paraId="56EB35CD">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936781F">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Acknowledgement</w:t>
      </w:r>
    </w:p>
    <w:p w14:paraId="51448038">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 would like to express my sincere gratitude to KIIT Deemed to be University and the School of Computer Engineering for providing the academic environment and facilities required for the development of this project.</w:t>
      </w:r>
    </w:p>
    <w:p w14:paraId="71AA889B">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 also acknowledge the technical documentation, open-source software libraries, and development tools that supported the implementation of PennyWise. The project was developed individually; therefore, no team contribution or external project supervisor is being claimed in this report.</w:t>
      </w:r>
    </w:p>
    <w:p w14:paraId="2ED58DEF">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Any remaining institutional, faculty, or supervisor acknowledgement can be added here if required by the department: Special thanks to the KIIT School of Computer Engineering faculty and advisors for their mentorship..</w:t>
      </w:r>
    </w:p>
    <w:p w14:paraId="01E8D2F9">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A400472">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ABSTRACT</w:t>
      </w:r>
    </w:p>
    <w:p w14:paraId="70C535D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is an AI-powered personal finance and behavioral economics platform designed to go beyond conventional expense tracking. The application combines financial record management with behavioral insights, predictive-style decision support, gamification, savings goals, subscription analysis, and interactive analytics. Its objective is to help users understand not only where their money goes, but also why particular spending patterns occur and how those patterns can affect future financial goals.</w:t>
      </w:r>
    </w:p>
    <w:p w14:paraId="2FDA3C1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current application is implemented as a full-stack web application using HTML5, CSS3 and Vanilla JavaScript on the frontend, Node.js with Express.js on the backend, JWT-based authentication, Chart.js for data visualization, and PDFKit for report generation. The database layer contains a relational schema covering users, settings, income, expenses, budgets, savings goals, subscriptions, achievements, challenges, notifications, reports and other behavioral-finance data. The project also includes a PostgreSQL production schema and a SQLite-to-PostgreSQL migration script for deployment to a managed database such as Neon.</w:t>
      </w:r>
    </w:p>
    <w:p w14:paraId="4031960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AI Behavior Suite includes rule-based decision support such as the 'Should I Buy It?' Advisor, a weighted Regret Predictor, Opportunity Cost Calculator, Future Savings Simulator, Hidden Expense Detector, Financial Time Machine, Weekly Spending Roast, and a Personalized Financial Coach. The dashboard also calculates financial health indicators from income, deductions, spending, impulse purchases, savings and mood-related expense information.</w:t>
      </w:r>
    </w:p>
    <w:p w14:paraId="72C5FF1B">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further uses gamification through XP, levels, badges and daily savings missions, while Dream Savings Goals translate long-term financial targets into visible progress and level progression. The application is designed with a modern glassmorphism interface, responsive cards, interactive charts, dark/light theme support and a single-page navigation experience.</w:t>
      </w:r>
    </w:p>
    <w:p w14:paraId="506CCC88">
      <w:pPr>
        <w:spacing w:before="200"/>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Keywords: </w:t>
      </w:r>
      <w:r>
        <w:rPr>
          <w:rFonts w:ascii="Times New Roman" w:hAnsi="Times New Roman"/>
          <w:color w:val="000000" w:themeColor="text1"/>
          <w:sz w:val="24"/>
          <w14:textFill>
            <w14:solidFill>
              <w14:schemeClr w14:val="tx1"/>
            </w14:solidFill>
          </w14:textFill>
        </w:rPr>
        <w:t>Personal Finance, Behavioral Economics, AI Decision Support, Expense Tracking, Regret Prediction, Gamification, Savings Goals, Node.js, Express.js, JWT, PostgreSQL</w:t>
      </w:r>
    </w:p>
    <w:p w14:paraId="3A1E5B2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E3C2386">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Contents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gridCol w:w="1440"/>
      </w:tblGrid>
      <w:tr w14:paraId="5827C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D9E2F3"/>
          </w:tcPr>
          <w:p>
            <w:r>
              <w:rPr>
                <w:b/>
                <w:color w:val="1E293B"/>
              </w:rPr>
              <w:t>Section</w:t>
            </w:r>
          </w:p>
        </w:tc>
        <w:tc>
          <w:tcPr>
            <w:tcW w:w="4680" w:type="dxa"/>
            <w:shd w:val="clear" w:color="auto" w:fill="D9E2F3"/>
          </w:tcPr>
          <w:p>
            <w:r>
              <w:rPr>
                <w:b/>
                <w:color w:val="1E293B"/>
              </w:rPr>
              <w:t>Title</w:t>
            </w:r>
          </w:p>
        </w:tc>
        <w:tc>
          <w:tcPr>
            <w:tcW w:type="dxa" w:w="1440"/>
          </w:tcPr>
          <w:p>
            <w:pPr>
              <w:jc w:val="right"/>
            </w:pPr>
            <w:r>
              <w:rPr>
                <w:b/>
                <w:color w:val="1E293B"/>
              </w:rPr>
              <w:t>Page</w:t>
            </w:r>
          </w:p>
        </w:tc>
      </w:tr>
      <w:tr w14:paraId="37371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28FB3E7">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1</w:t>
            </w:r>
          </w:p>
        </w:tc>
        <w:tc>
          <w:tcPr>
            <w:tcW w:w="4680" w:type="dxa"/>
          </w:tcPr>
          <w:p w14:paraId="67F80ADA">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Introduction</w:t>
            </w:r>
          </w:p>
        </w:tc>
        <w:tc>
          <w:tcPr>
            <w:tcW w:type="dxa" w:w="1440"/>
          </w:tcPr>
          <w:p>
            <w:pPr>
              <w:jc w:val="right"/>
            </w:pPr>
            <w:r>
              <w:rPr>
                <w:b/>
                <w:color w:val="6366F1"/>
              </w:rPr>
              <w:t>7</w:t>
            </w:r>
          </w:p>
        </w:tc>
      </w:tr>
      <w:tr w14:paraId="21C36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25A89E2">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2</w:t>
            </w:r>
          </w:p>
        </w:tc>
        <w:tc>
          <w:tcPr>
            <w:tcW w:w="4680" w:type="dxa"/>
          </w:tcPr>
          <w:p w14:paraId="4347AED1">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Basic Concepts</w:t>
            </w:r>
          </w:p>
        </w:tc>
        <w:tc>
          <w:tcPr>
            <w:tcW w:type="dxa" w:w="1440"/>
          </w:tcPr>
          <w:p>
            <w:pPr>
              <w:jc w:val="right"/>
            </w:pPr>
            <w:r>
              <w:rPr>
                <w:b/>
                <w:color w:val="6366F1"/>
              </w:rPr>
              <w:t>9</w:t>
            </w:r>
          </w:p>
        </w:tc>
      </w:tr>
      <w:tr w14:paraId="121F7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C2912D2">
            <w:pPr>
              <w:spacing w:after="0" w:line="240" w:lineRule="auto"/>
              <w:rPr>
                <w:color w:val="000000" w:themeColor="text1"/>
                <w14:textFill>
                  <w14:solidFill>
                    <w14:schemeClr w14:val="tx1"/>
                  </w14:solidFill>
                </w14:textFill>
              </w:rPr>
            </w:pPr>
          </w:p>
        </w:tc>
        <w:tc>
          <w:tcPr>
            <w:tcW w:w="4680" w:type="dxa"/>
          </w:tcPr>
          <w:p w14:paraId="2B72A50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Literature Review</w:t>
            </w:r>
          </w:p>
        </w:tc>
        <w:tc>
          <w:tcPr>
            <w:tcW w:type="dxa" w:w="1440"/>
          </w:tcPr>
          <w:p>
            <w:pPr>
              <w:jc w:val="right"/>
            </w:pPr>
            <w:r>
              <w:rPr>
                <w:b/>
                <w:color w:val="6366F1"/>
              </w:rPr>
              <w:t>10</w:t>
            </w:r>
          </w:p>
        </w:tc>
      </w:tr>
      <w:tr w14:paraId="7228D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8B2B444">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w:t>
            </w:r>
          </w:p>
        </w:tc>
        <w:tc>
          <w:tcPr>
            <w:tcW w:w="4680" w:type="dxa"/>
          </w:tcPr>
          <w:p w14:paraId="228CE3F8">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Problem Statement and Requirement Specifications</w:t>
            </w:r>
          </w:p>
        </w:tc>
        <w:tc>
          <w:tcPr>
            <w:tcW w:type="dxa" w:w="1440"/>
          </w:tcPr>
          <w:p>
            <w:pPr>
              <w:jc w:val="right"/>
            </w:pPr>
            <w:r>
              <w:rPr>
                <w:b/>
                <w:color w:val="6366F1"/>
              </w:rPr>
              <w:t>11</w:t>
            </w:r>
          </w:p>
        </w:tc>
      </w:tr>
      <w:tr w14:paraId="4024D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D868A84">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3.1</w:t>
            </w:r>
          </w:p>
        </w:tc>
        <w:tc>
          <w:tcPr>
            <w:tcW w:w="4680" w:type="dxa"/>
          </w:tcPr>
          <w:p w14:paraId="494806B7">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Project Planning</w:t>
            </w:r>
          </w:p>
        </w:tc>
        <w:tc>
          <w:tcPr>
            <w:tcW w:type="dxa" w:w="1440"/>
          </w:tcPr>
          <w:p>
            <w:pPr>
              <w:jc w:val="right"/>
            </w:pPr>
            <w:r>
              <w:rPr>
                <w:b/>
                <w:color w:val="6366F1"/>
              </w:rPr>
              <w:t>11</w:t>
            </w:r>
          </w:p>
        </w:tc>
      </w:tr>
      <w:tr w14:paraId="3064F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EFB4B30">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3.2</w:t>
            </w:r>
          </w:p>
        </w:tc>
        <w:tc>
          <w:tcPr>
            <w:tcW w:w="4680" w:type="dxa"/>
          </w:tcPr>
          <w:p w14:paraId="503AF3CC">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Project Analysis (SRS)</w:t>
            </w:r>
          </w:p>
        </w:tc>
        <w:tc>
          <w:tcPr>
            <w:tcW w:type="dxa" w:w="1440"/>
          </w:tcPr>
          <w:p>
            <w:pPr>
              <w:jc w:val="right"/>
            </w:pPr>
            <w:r>
              <w:rPr>
                <w:b/>
                <w:color w:val="6366F1"/>
              </w:rPr>
              <w:t>11</w:t>
            </w:r>
          </w:p>
        </w:tc>
      </w:tr>
      <w:tr w14:paraId="4F752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D95657">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3.3</w:t>
            </w:r>
          </w:p>
        </w:tc>
        <w:tc>
          <w:tcPr>
            <w:tcW w:w="4680" w:type="dxa"/>
          </w:tcPr>
          <w:p w14:paraId="2C786BDB">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System Design</w:t>
            </w:r>
          </w:p>
        </w:tc>
        <w:tc>
          <w:tcPr>
            <w:tcW w:type="dxa" w:w="1440"/>
          </w:tcPr>
          <w:p>
            <w:pPr>
              <w:jc w:val="right"/>
            </w:pPr>
            <w:r>
              <w:rPr>
                <w:b/>
                <w:color w:val="6366F1"/>
              </w:rPr>
              <w:t>11</w:t>
            </w:r>
          </w:p>
        </w:tc>
      </w:tr>
      <w:tr w14:paraId="1AB68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1CE8EA8">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3.3.1</w:t>
            </w:r>
          </w:p>
        </w:tc>
        <w:tc>
          <w:tcPr>
            <w:tcW w:w="4680" w:type="dxa"/>
          </w:tcPr>
          <w:p w14:paraId="4C4708F1">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Design Constraints</w:t>
            </w:r>
          </w:p>
        </w:tc>
        <w:tc>
          <w:tcPr>
            <w:tcW w:type="dxa" w:w="1440"/>
          </w:tcPr>
          <w:p>
            <w:pPr>
              <w:jc w:val="right"/>
            </w:pPr>
            <w:r>
              <w:rPr>
                <w:b/>
                <w:color w:val="6366F1"/>
              </w:rPr>
              <w:t>11</w:t>
            </w:r>
          </w:p>
        </w:tc>
      </w:tr>
      <w:tr w14:paraId="5D242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79B70FC">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3.3.2</w:t>
            </w:r>
          </w:p>
        </w:tc>
        <w:tc>
          <w:tcPr>
            <w:tcW w:w="4680" w:type="dxa"/>
          </w:tcPr>
          <w:p w14:paraId="4321D35B">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System Architecture / Block Diagram</w:t>
            </w:r>
          </w:p>
        </w:tc>
        <w:tc>
          <w:tcPr>
            <w:tcW w:type="dxa" w:w="1440"/>
          </w:tcPr>
          <w:p>
            <w:pPr>
              <w:jc w:val="right"/>
            </w:pPr>
            <w:r>
              <w:rPr>
                <w:b/>
                <w:color w:val="6366F1"/>
              </w:rPr>
              <w:t>12</w:t>
            </w:r>
          </w:p>
        </w:tc>
      </w:tr>
      <w:tr w14:paraId="057D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3117FF0">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w:t>
            </w:r>
          </w:p>
        </w:tc>
        <w:tc>
          <w:tcPr>
            <w:tcW w:w="4680" w:type="dxa"/>
          </w:tcPr>
          <w:p w14:paraId="193FA9EA">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Implementation</w:t>
            </w:r>
          </w:p>
        </w:tc>
        <w:tc>
          <w:tcPr>
            <w:tcW w:type="dxa" w:w="1440"/>
          </w:tcPr>
          <w:p>
            <w:pPr>
              <w:jc w:val="right"/>
            </w:pPr>
            <w:r>
              <w:rPr>
                <w:b/>
                <w:color w:val="6366F1"/>
              </w:rPr>
              <w:t>16</w:t>
            </w:r>
          </w:p>
        </w:tc>
      </w:tr>
      <w:tr w14:paraId="126B6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BF60C05">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4.1</w:t>
            </w:r>
          </w:p>
        </w:tc>
        <w:tc>
          <w:tcPr>
            <w:tcW w:w="4680" w:type="dxa"/>
          </w:tcPr>
          <w:p w14:paraId="3F256F9C">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Methodology</w:t>
            </w:r>
          </w:p>
        </w:tc>
        <w:tc>
          <w:tcPr>
            <w:tcW w:type="dxa" w:w="1440"/>
          </w:tcPr>
          <w:p>
            <w:pPr>
              <w:jc w:val="right"/>
            </w:pPr>
            <w:r>
              <w:rPr>
                <w:b/>
                <w:color w:val="6366F1"/>
              </w:rPr>
              <w:t>16</w:t>
            </w:r>
          </w:p>
        </w:tc>
      </w:tr>
      <w:tr w14:paraId="35C62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E5DAD62">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4.2</w:t>
            </w:r>
          </w:p>
        </w:tc>
        <w:tc>
          <w:tcPr>
            <w:tcW w:w="4680" w:type="dxa"/>
          </w:tcPr>
          <w:p w14:paraId="6948159A">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Testing / Verification Plan</w:t>
            </w:r>
          </w:p>
        </w:tc>
        <w:tc>
          <w:tcPr>
            <w:tcW w:type="dxa" w:w="1440"/>
          </w:tcPr>
          <w:p>
            <w:pPr>
              <w:jc w:val="right"/>
            </w:pPr>
            <w:r>
              <w:rPr>
                <w:b/>
                <w:color w:val="6366F1"/>
              </w:rPr>
              <w:t>17</w:t>
            </w:r>
          </w:p>
        </w:tc>
      </w:tr>
      <w:tr w14:paraId="77FA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214FF15">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4.3</w:t>
            </w:r>
          </w:p>
        </w:tc>
        <w:tc>
          <w:tcPr>
            <w:tcW w:w="4680" w:type="dxa"/>
          </w:tcPr>
          <w:p w14:paraId="37442BA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Result Analysis / Screenshots</w:t>
            </w:r>
          </w:p>
        </w:tc>
        <w:tc>
          <w:tcPr>
            <w:tcW w:type="dxa" w:w="1440"/>
          </w:tcPr>
          <w:p>
            <w:pPr>
              <w:jc w:val="right"/>
            </w:pPr>
            <w:r>
              <w:rPr>
                <w:b/>
                <w:color w:val="6366F1"/>
              </w:rPr>
              <w:t>18</w:t>
            </w:r>
          </w:p>
        </w:tc>
      </w:tr>
      <w:tr w14:paraId="0034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4847AA4">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4.4</w:t>
            </w:r>
          </w:p>
        </w:tc>
        <w:tc>
          <w:tcPr>
            <w:tcW w:w="4680" w:type="dxa"/>
          </w:tcPr>
          <w:p w14:paraId="477EDC3A">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Quality Assurance</w:t>
            </w:r>
          </w:p>
        </w:tc>
        <w:tc>
          <w:tcPr>
            <w:tcW w:type="dxa" w:w="1440"/>
          </w:tcPr>
          <w:p>
            <w:pPr>
              <w:jc w:val="right"/>
            </w:pPr>
            <w:r>
              <w:rPr>
                <w:b/>
                <w:color w:val="6366F1"/>
              </w:rPr>
              <w:t>31</w:t>
            </w:r>
          </w:p>
        </w:tc>
      </w:tr>
      <w:tr w14:paraId="7DCE3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672272">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w:t>
            </w:r>
          </w:p>
        </w:tc>
        <w:tc>
          <w:tcPr>
            <w:tcW w:w="4680" w:type="dxa"/>
          </w:tcPr>
          <w:p w14:paraId="28D69DD0">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Standard Adopted</w:t>
            </w:r>
          </w:p>
        </w:tc>
        <w:tc>
          <w:tcPr>
            <w:tcW w:type="dxa" w:w="1440"/>
          </w:tcPr>
          <w:p>
            <w:pPr>
              <w:jc w:val="right"/>
            </w:pPr>
            <w:r>
              <w:rPr>
                <w:b/>
                <w:color w:val="6366F1"/>
              </w:rPr>
              <w:t>32</w:t>
            </w:r>
          </w:p>
        </w:tc>
      </w:tr>
      <w:tr w14:paraId="1E227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B18BB2F">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5.1</w:t>
            </w:r>
          </w:p>
        </w:tc>
        <w:tc>
          <w:tcPr>
            <w:tcW w:w="4680" w:type="dxa"/>
          </w:tcPr>
          <w:p w14:paraId="586518F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Design Standards</w:t>
            </w:r>
          </w:p>
        </w:tc>
        <w:tc>
          <w:tcPr>
            <w:tcW w:type="dxa" w:w="1440"/>
          </w:tcPr>
          <w:p>
            <w:pPr>
              <w:jc w:val="right"/>
            </w:pPr>
            <w:r>
              <w:rPr>
                <w:b/>
                <w:color w:val="6366F1"/>
              </w:rPr>
              <w:t>32</w:t>
            </w:r>
          </w:p>
        </w:tc>
      </w:tr>
      <w:tr w14:paraId="234A8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FB01C36">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5.2</w:t>
            </w:r>
          </w:p>
        </w:tc>
        <w:tc>
          <w:tcPr>
            <w:tcW w:w="4680" w:type="dxa"/>
          </w:tcPr>
          <w:p w14:paraId="03555A2C">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Coding Standards</w:t>
            </w:r>
          </w:p>
        </w:tc>
        <w:tc>
          <w:tcPr>
            <w:tcW w:type="dxa" w:w="1440"/>
          </w:tcPr>
          <w:p>
            <w:pPr>
              <w:jc w:val="right"/>
            </w:pPr>
            <w:r>
              <w:rPr>
                <w:b/>
                <w:color w:val="6366F1"/>
              </w:rPr>
              <w:t>32</w:t>
            </w:r>
          </w:p>
        </w:tc>
      </w:tr>
      <w:tr w14:paraId="1F4BF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55EFA76">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5.3</w:t>
            </w:r>
          </w:p>
        </w:tc>
        <w:tc>
          <w:tcPr>
            <w:tcW w:w="4680" w:type="dxa"/>
          </w:tcPr>
          <w:p w14:paraId="3B5B29D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Testing Standards</w:t>
            </w:r>
          </w:p>
        </w:tc>
        <w:tc>
          <w:tcPr>
            <w:tcW w:type="dxa" w:w="1440"/>
          </w:tcPr>
          <w:p>
            <w:pPr>
              <w:jc w:val="right"/>
            </w:pPr>
            <w:r>
              <w:rPr>
                <w:b/>
                <w:color w:val="6366F1"/>
              </w:rPr>
              <w:t>32</w:t>
            </w:r>
          </w:p>
        </w:tc>
      </w:tr>
      <w:tr w14:paraId="03E5D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6D37B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6</w:t>
            </w:r>
          </w:p>
        </w:tc>
        <w:tc>
          <w:tcPr>
            <w:tcW w:w="4680" w:type="dxa"/>
          </w:tcPr>
          <w:p w14:paraId="5588D1D4">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Conclusion and Future Scope</w:t>
            </w:r>
          </w:p>
        </w:tc>
        <w:tc>
          <w:tcPr>
            <w:tcW w:type="dxa" w:w="1440"/>
          </w:tcPr>
          <w:p>
            <w:pPr>
              <w:jc w:val="right"/>
            </w:pPr>
            <w:r>
              <w:rPr>
                <w:b/>
                <w:color w:val="6366F1"/>
              </w:rPr>
              <w:t>33</w:t>
            </w:r>
          </w:p>
        </w:tc>
      </w:tr>
      <w:tr w14:paraId="1465E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00601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6.1</w:t>
            </w:r>
          </w:p>
        </w:tc>
        <w:tc>
          <w:tcPr>
            <w:tcW w:w="4680" w:type="dxa"/>
          </w:tcPr>
          <w:p w14:paraId="3939A31E">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Conclusion</w:t>
            </w:r>
          </w:p>
        </w:tc>
        <w:tc>
          <w:tcPr>
            <w:tcW w:type="dxa" w:w="1440"/>
          </w:tcPr>
          <w:p>
            <w:pPr>
              <w:jc w:val="right"/>
            </w:pPr>
            <w:r>
              <w:rPr>
                <w:b/>
                <w:color w:val="6366F1"/>
              </w:rPr>
              <w:t>33</w:t>
            </w:r>
          </w:p>
        </w:tc>
      </w:tr>
      <w:tr w14:paraId="17A5C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CB13AA">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6.2</w:t>
            </w:r>
          </w:p>
        </w:tc>
        <w:tc>
          <w:tcPr>
            <w:tcW w:w="4680" w:type="dxa"/>
          </w:tcPr>
          <w:p w14:paraId="58D7EF9E">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Future Scope</w:t>
            </w:r>
          </w:p>
        </w:tc>
        <w:tc>
          <w:tcPr>
            <w:tcW w:type="dxa" w:w="1440"/>
          </w:tcPr>
          <w:p>
            <w:pPr>
              <w:jc w:val="right"/>
            </w:pPr>
            <w:r>
              <w:rPr>
                <w:b/>
                <w:color w:val="6366F1"/>
              </w:rPr>
              <w:t>33</w:t>
            </w:r>
          </w:p>
        </w:tc>
      </w:tr>
      <w:tr w14:paraId="6370B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33DE232">
            <w:pPr>
              <w:spacing w:after="0" w:line="240" w:lineRule="auto"/>
              <w:rPr>
                <w:color w:val="000000" w:themeColor="text1"/>
                <w14:textFill>
                  <w14:solidFill>
                    <w14:schemeClr w14:val="tx1"/>
                  </w14:solidFill>
                </w14:textFill>
              </w:rPr>
            </w:pPr>
          </w:p>
        </w:tc>
        <w:tc>
          <w:tcPr>
            <w:tcW w:w="4680" w:type="dxa"/>
          </w:tcPr>
          <w:p w14:paraId="7B044A68">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References</w:t>
            </w:r>
          </w:p>
        </w:tc>
        <w:tc>
          <w:tcPr>
            <w:tcW w:type="dxa" w:w="1440"/>
          </w:tcPr>
          <w:p>
            <w:pPr>
              <w:jc w:val="right"/>
            </w:pPr>
            <w:r>
              <w:rPr>
                <w:b/>
                <w:color w:val="6366F1"/>
              </w:rPr>
              <w:t>34</w:t>
            </w:r>
          </w:p>
        </w:tc>
      </w:tr>
    </w:tbl>
    <w:p w14:paraId="340B318C">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21C17CA">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LIST OF FIGURES</w:t>
      </w:r>
    </w:p>
    <w:p w14:paraId="5DE66D6D">
      <w:pPr>
        <w:rPr>
          <w:color w:val="000000" w:themeColor="text1"/>
          <w14:textFill>
            <w14:solidFill>
              <w14:schemeClr w14:val="tx1"/>
            </w14:solidFill>
          </w14:textFill>
        </w:rPr>
      </w:pPr>
      <w:r>
        <w:rPr>
          <w:color w:val="1E293B"/>
          <w:sz w:val="22"/>
        </w:rPr>
        <w:t>Figure 3.1  High-Level System Architecture  . . . . . . . . . . . . . Page 12</w:t>
      </w:r>
    </w:p>
    <w:p w14:paraId="01939EAF">
      <w:pPr>
        <w:rPr>
          <w:color w:val="000000" w:themeColor="text1"/>
          <w14:textFill>
            <w14:solidFill>
              <w14:schemeClr w14:val="tx1"/>
            </w14:solidFill>
          </w14:textFill>
        </w:rPr>
      </w:pPr>
      <w:r>
        <w:rPr>
          <w:color w:val="1E293B"/>
          <w:sz w:val="22"/>
        </w:rPr>
        <w:t>Figure 3.2  Use Case Diagram  . . . . . . . . . . . . . . . . . . . . Page 13</w:t>
      </w:r>
    </w:p>
    <w:p w14:paraId="7CC6361D">
      <w:pPr>
        <w:rPr>
          <w:color w:val="000000" w:themeColor="text1"/>
          <w14:textFill>
            <w14:solidFill>
              <w14:schemeClr w14:val="tx1"/>
            </w14:solidFill>
          </w14:textFill>
        </w:rPr>
      </w:pPr>
      <w:r>
        <w:rPr>
          <w:color w:val="1E293B"/>
          <w:sz w:val="22"/>
        </w:rPr>
        <w:t>Figure 3.3  Entity-Relationship (ER) Diagram  . . . . . . . . . . . . Page 14</w:t>
      </w:r>
    </w:p>
    <w:p w14:paraId="70D64B79">
      <w:pPr>
        <w:rPr>
          <w:color w:val="000000" w:themeColor="text1"/>
          <w14:textFill>
            <w14:solidFill>
              <w14:schemeClr w14:val="tx1"/>
            </w14:solidFill>
          </w14:textFill>
        </w:rPr>
      </w:pPr>
      <w:r>
        <w:rPr>
          <w:color w:val="1E293B"/>
          <w:sz w:val="22"/>
        </w:rPr>
        <w:t>Figure 3.4  Data Flow / Request-Response Flow  . . . . . . . . . . . Page 15</w:t>
      </w:r>
    </w:p>
    <w:p w14:paraId="0C051941">
      <w:pPr>
        <w:rPr>
          <w:color w:val="000000" w:themeColor="text1"/>
          <w14:textFill>
            <w14:solidFill>
              <w14:schemeClr w14:val="tx1"/>
            </w14:solidFill>
          </w14:textFill>
        </w:rPr>
      </w:pPr>
      <w:r>
        <w:rPr>
          <w:color w:val="1E293B"/>
          <w:sz w:val="22"/>
        </w:rPr>
        <w:t>Figure 4.1  PennyWise Dashboard  . . . . . . . . . . . . . . . . . . Page 18</w:t>
      </w:r>
    </w:p>
    <w:p w14:paraId="3F7A7D49">
      <w:pPr>
        <w:rPr>
          <w:color w:val="000000" w:themeColor="text1"/>
          <w14:textFill>
            <w14:solidFill>
              <w14:schemeClr w14:val="tx1"/>
            </w14:solidFill>
          </w14:textFill>
        </w:rPr>
      </w:pPr>
      <w:r>
        <w:rPr>
          <w:color w:val="1E293B"/>
          <w:sz w:val="22"/>
        </w:rPr>
        <w:t>Figure 4.2  Registration / Login Interface  . . . . . . . . . . . . . Page 19</w:t>
      </w:r>
    </w:p>
    <w:p w14:paraId="1134F60F">
      <w:pPr>
        <w:rPr>
          <w:color w:val="000000" w:themeColor="text1"/>
          <w14:textFill>
            <w14:solidFill>
              <w14:schemeClr w14:val="tx1"/>
            </w14:solidFill>
          </w14:textFill>
        </w:rPr>
      </w:pPr>
      <w:r>
        <w:rPr>
          <w:color w:val="1E293B"/>
          <w:sz w:val="22"/>
        </w:rPr>
        <w:t>Figure 4.3  Expense Management Interface  . . . . . . . . . . . . . . Page 20</w:t>
      </w:r>
    </w:p>
    <w:p w14:paraId="6E1B3390">
      <w:pPr>
        <w:rPr>
          <w:color w:val="000000" w:themeColor="text1"/>
          <w14:textFill>
            <w14:solidFill>
              <w14:schemeClr w14:val="tx1"/>
            </w14:solidFill>
          </w14:textFill>
        </w:rPr>
      </w:pPr>
      <w:r>
        <w:rPr>
          <w:color w:val="1E293B"/>
          <w:sz w:val="22"/>
        </w:rPr>
        <w:t>Figure 4.4  Analytics and Mood Analysis  . . . . . . . . . . . . . . Page 21</w:t>
      </w:r>
    </w:p>
    <w:p w14:paraId="65468F03">
      <w:pPr>
        <w:rPr>
          <w:color w:val="000000" w:themeColor="text1"/>
          <w14:textFill>
            <w14:solidFill>
              <w14:schemeClr w14:val="tx1"/>
            </w14:solidFill>
          </w14:textFill>
        </w:rPr>
      </w:pPr>
      <w:r>
        <w:rPr>
          <w:color w:val="1E293B"/>
          <w:sz w:val="22"/>
        </w:rPr>
        <w:t>Figure 4.5  AI Behavior Suite  . . . . . . . . . . . . . . . . . . . Page 22</w:t>
      </w:r>
    </w:p>
    <w:p w14:paraId="4DB0DA11">
      <w:pPr>
        <w:rPr>
          <w:color w:val="000000" w:themeColor="text1"/>
          <w14:textFill>
            <w14:solidFill>
              <w14:schemeClr w14:val="tx1"/>
            </w14:solidFill>
          </w14:textFill>
        </w:rPr>
      </w:pPr>
      <w:r>
        <w:rPr>
          <w:color w:val="1E293B"/>
          <w:sz w:val="22"/>
        </w:rPr>
        <w:t>Figure 4.6  Should I Buy It? Advisor Result  . . . . . . . . . . . . Page 23</w:t>
      </w:r>
    </w:p>
    <w:p w14:paraId="705FB5C8">
      <w:pPr>
        <w:rPr>
          <w:color w:val="000000" w:themeColor="text1"/>
          <w14:textFill>
            <w14:solidFill>
              <w14:schemeClr w14:val="tx1"/>
            </w14:solidFill>
          </w14:textFill>
        </w:rPr>
      </w:pPr>
      <w:r>
        <w:rPr>
          <w:color w:val="1E293B"/>
          <w:sz w:val="22"/>
        </w:rPr>
        <w:t>Figure 4.7  Regret Predictor Result  . . . . . . . . . . . . . . . . Page 24</w:t>
      </w:r>
    </w:p>
    <w:p w14:paraId="68658F89">
      <w:pPr>
        <w:rPr>
          <w:color w:val="000000" w:themeColor="text1"/>
          <w14:textFill>
            <w14:solidFill>
              <w14:schemeClr w14:val="tx1"/>
            </w14:solidFill>
          </w14:textFill>
        </w:rPr>
      </w:pPr>
      <w:r>
        <w:rPr>
          <w:color w:val="1E293B"/>
          <w:sz w:val="22"/>
        </w:rPr>
        <w:t>Figure 4.8  Dream Savings Goals  . . . . . . . . . . . . . . . . . . Page 25</w:t>
      </w:r>
    </w:p>
    <w:p w14:paraId="73EC5DC6">
      <w:pPr>
        <w:rPr>
          <w:color w:val="000000" w:themeColor="text1"/>
          <w14:textFill>
            <w14:solidFill>
              <w14:schemeClr w14:val="tx1"/>
            </w14:solidFill>
          </w14:textFill>
        </w:rPr>
      </w:pPr>
      <w:r>
        <w:rPr>
          <w:color w:val="1E293B"/>
          <w:sz w:val="22"/>
        </w:rPr>
        <w:t>Figure 4.9  Subscription Killer  . . . . . . . . . . . . . . . . . . Page 26</w:t>
      </w:r>
    </w:p>
    <w:p w14:paraId="16D68A6C">
      <w:pPr>
        <w:rPr>
          <w:color w:val="000000" w:themeColor="text1"/>
          <w14:textFill>
            <w14:solidFill>
              <w14:schemeClr w14:val="tx1"/>
            </w14:solidFill>
          </w14:textFill>
        </w:rPr>
      </w:pPr>
      <w:r>
        <w:rPr>
          <w:color w:val="1E293B"/>
          <w:sz w:val="22"/>
        </w:rPr>
        <w:t>Figure 4.10  Money Game, XP and Badges  . . . . . . . . . . . . . . . Page 27</w:t>
      </w:r>
    </w:p>
    <w:p w14:paraId="431E5871">
      <w:pPr>
        <w:rPr>
          <w:color w:val="000000" w:themeColor="text1"/>
          <w14:textFill>
            <w14:solidFill>
              <w14:schemeClr w14:val="tx1"/>
            </w14:solidFill>
          </w14:textFill>
        </w:rPr>
      </w:pPr>
      <w:r>
        <w:rPr>
          <w:color w:val="1E293B"/>
          <w:sz w:val="22"/>
        </w:rPr>
        <w:t>Figure 4.11  No-Spend Calendar  . . . . . . . . . . . . . . . . . . . Page 28</w:t>
      </w:r>
    </w:p>
    <w:p w14:paraId="42B4C085">
      <w:pPr>
        <w:rPr>
          <w:color w:val="000000" w:themeColor="text1"/>
          <w14:textFill>
            <w14:solidFill>
              <w14:schemeClr w14:val="tx1"/>
            </w14:solidFill>
          </w14:textFill>
        </w:rPr>
      </w:pPr>
      <w:r>
        <w:rPr>
          <w:color w:val="1E293B"/>
          <w:sz w:val="22"/>
        </w:rPr>
        <w:t>Figure 4.12  Monthly Report / PDF  . . . . . . . . . . . . . . . . . Page 29</w:t>
      </w:r>
    </w:p>
    <w:p w14:paraId="03913B58">
      <w:pPr>
        <w:rPr>
          <w:color w:val="000000" w:themeColor="text1"/>
          <w14:textFill>
            <w14:solidFill>
              <w14:schemeClr w14:val="tx1"/>
            </w14:solidFill>
          </w14:textFill>
        </w:rPr>
      </w:pPr>
      <w:r>
        <w:rPr>
          <w:color w:val="1E293B"/>
          <w:sz w:val="22"/>
        </w:rPr>
        <w:t>Figure 4.13  Profile and Deduction Management  . . . . . . . . . . . Page 30</w:t>
      </w:r>
    </w:p>
    <w:p w14:paraId="47C12367">
      <w:pPr>
        <w:rPr>
          <w:color w:val="000000" w:themeColor="text1"/>
          <w14:textFill>
            <w14:solidFill>
              <w14:schemeClr w14:val="tx1"/>
            </w14:solidFill>
          </w14:textFill>
        </w:rPr>
      </w:pPr>
      <w:r>
        <w:rPr>
          <w:color w:val="1E293B"/>
          <w:sz w:val="22"/>
        </w:rPr>
        <w:t>Figure 4.14  Future Savings / Opportunity Cost Tools  . . . . . . . . Page 31</w:t>
      </w:r>
    </w:p>
    <w:p w14:paraId="16C2A29B">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28A2FB5">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1</w:t>
      </w:r>
    </w:p>
    <w:p w14:paraId="732C0D83">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Introduction</w:t>
      </w:r>
    </w:p>
    <w:p w14:paraId="1660ECB3">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Personal finance applications traditionally focus on recording income, expenses and budgets. PennyWise extends this model by treating spending as a behavioral process. Instead of showing only transaction totals, it uses transaction history, mood information, impulse indicators, savings goals and subscription usage to generate actionable feedback.</w:t>
      </w:r>
    </w:p>
    <w:p w14:paraId="43F536A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was conceived as an AI-powered financial command center. The supplied project specification describes the platform as a personal finance and budgeting system that combines behavioral insights, gamification, predictive analytics and intelligent recommendations. The current codebase implements this direction through a browser-based single-page interface and a Node.js/Express REST API.</w:t>
      </w:r>
    </w:p>
    <w:p w14:paraId="79CB9211">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1.1 Background</w:t>
      </w:r>
    </w:p>
    <w:p w14:paraId="45A15AD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Financial decisions are affected by factors such as affordability, emotional state, purchase frequency, recurring commitments and progress toward longer-term goals. A user may know how much was spent but still lack an immediate explanation of the behavioral consequences. PennyWise attempts to bridge this gap through contextual calculations and user-specific recommendations.</w:t>
      </w:r>
    </w:p>
    <w:p w14:paraId="0BF4E041">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1.2 Motivation</w:t>
      </w:r>
    </w:p>
    <w:p w14:paraId="0E5227B5">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motivation behind PennyWise is to make financial management more understandable and actionable. The platform combines ordinary financial records with behavioral indicators so that users can receive explanations such as whether a purchase fits the available balance, how a purchase may delay a savings goal, whether subscriptions are being underused, and how small expenses accumulate.</w:t>
      </w:r>
    </w:p>
    <w:p w14:paraId="7EBF5327">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1.3 Objectives</w:t>
      </w:r>
    </w:p>
    <w:p w14:paraId="23FF245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Develop a unified personal-finance dashboard for income, deductions, expenses, budgets and savings.</w:t>
      </w:r>
    </w:p>
    <w:p w14:paraId="79CC15D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user authentication and isolate user-specific financial records.</w:t>
      </w:r>
    </w:p>
    <w:p w14:paraId="4B8EF837">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Generate data-driven behavioral insights from transaction history and mood information.</w:t>
      </w:r>
    </w:p>
    <w:p w14:paraId="3164E68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decision-support tools for purchases, opportunity cost, future savings and regret risk.</w:t>
      </w:r>
    </w:p>
    <w:p w14:paraId="688EE8C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Encourage saving through Dream Goals, XP, levels, badges and daily missions.</w:t>
      </w:r>
    </w:p>
    <w:p w14:paraId="36EB47E8">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subscription usage analysis and identify potential savings.</w:t>
      </w:r>
    </w:p>
    <w:p w14:paraId="110880F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Generate monthly financial reports in PDF format.</w:t>
      </w:r>
    </w:p>
    <w:p w14:paraId="339E6BC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a modern, responsive and interactive user interface.</w:t>
      </w:r>
    </w:p>
    <w:p w14:paraId="6D0E8B2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Prepare the application for persistent cloud deployment using PostgreSQL and environment-based configuration.</w:t>
      </w:r>
    </w:p>
    <w:p w14:paraId="3001714D">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1.4 Scope</w:t>
      </w:r>
    </w:p>
    <w:p w14:paraId="0C11248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scope covers a web-based personal finance platform for individual users. It includes financial data entry, analytics, behavioral decision support, savings goals, subscriptions, gamification, reports, profile settings and supporting APIs. Deployment-specific details such as the final Vercel URL, Neon database URL, production verification results and final environment variables are intentionally left as placeholders until the deployment is completed.</w:t>
      </w:r>
    </w:p>
    <w:p w14:paraId="74A8BFD9">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1.5 Key Features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3CA8B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2F3"/>
          </w:tcPr>
          <w:p w14:paraId="14C495FD">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Area</w:t>
            </w:r>
          </w:p>
        </w:tc>
        <w:tc>
          <w:tcPr>
            <w:tcW w:w="4680" w:type="dxa"/>
            <w:shd w:val="clear" w:color="auto" w:fill="D9E2F3"/>
          </w:tcPr>
          <w:p w14:paraId="1646F8BA">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Current Project Capability</w:t>
            </w:r>
          </w:p>
        </w:tc>
      </w:tr>
      <w:tr w14:paraId="50421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08070F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Financial management</w:t>
            </w:r>
          </w:p>
        </w:tc>
        <w:tc>
          <w:tcPr>
            <w:tcW w:w="4680" w:type="dxa"/>
          </w:tcPr>
          <w:p w14:paraId="3643E64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Income, expenses, deductions, budgets and monthly calculations</w:t>
            </w:r>
          </w:p>
        </w:tc>
      </w:tr>
      <w:tr w14:paraId="14727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FE95F3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Behavioral intelligence</w:t>
            </w:r>
          </w:p>
        </w:tc>
        <w:tc>
          <w:tcPr>
            <w:tcW w:w="4680" w:type="dxa"/>
          </w:tcPr>
          <w:p w14:paraId="0050D52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Purchase advisor, regret scoring, mood/impulse analysis, hidden expense detection</w:t>
            </w:r>
          </w:p>
        </w:tc>
      </w:tr>
      <w:tr w14:paraId="75E22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60A3D66">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Savings</w:t>
            </w:r>
          </w:p>
        </w:tc>
        <w:tc>
          <w:tcPr>
            <w:tcW w:w="4680" w:type="dxa"/>
          </w:tcPr>
          <w:p w14:paraId="04EAA11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Dream Goals, savings progression, opportunity cost and future savings simulation</w:t>
            </w:r>
          </w:p>
        </w:tc>
      </w:tr>
      <w:tr w14:paraId="77AC5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28A41C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Subscriptions</w:t>
            </w:r>
          </w:p>
        </w:tc>
        <w:tc>
          <w:tcPr>
            <w:tcW w:w="4680" w:type="dxa"/>
          </w:tcPr>
          <w:p w14:paraId="2E818AA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Subscription records, usage marking, analytics and savings opportunities</w:t>
            </w:r>
          </w:p>
        </w:tc>
      </w:tr>
      <w:tr w14:paraId="5F099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42DBA4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Gamification</w:t>
            </w:r>
          </w:p>
        </w:tc>
        <w:tc>
          <w:tcPr>
            <w:tcW w:w="4680" w:type="dxa"/>
          </w:tcPr>
          <w:p w14:paraId="61A9722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XP, levels, badges and daily savings missions</w:t>
            </w:r>
          </w:p>
        </w:tc>
      </w:tr>
      <w:tr w14:paraId="284E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E6D194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Analytics</w:t>
            </w:r>
          </w:p>
        </w:tc>
        <w:tc>
          <w:tcPr>
            <w:tcW w:w="4680" w:type="dxa"/>
          </w:tcPr>
          <w:p w14:paraId="6C82E39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Spending trends, category breakdowns, mood-related analysis and no-spend calendar</w:t>
            </w:r>
          </w:p>
        </w:tc>
      </w:tr>
      <w:tr w14:paraId="0BAC8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2A5E4A6">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Reporting</w:t>
            </w:r>
          </w:p>
        </w:tc>
        <w:tc>
          <w:tcPr>
            <w:tcW w:w="4680" w:type="dxa"/>
          </w:tcPr>
          <w:p w14:paraId="76642EB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Monthly report generation and PDF download</w:t>
            </w:r>
          </w:p>
        </w:tc>
      </w:tr>
      <w:tr w14:paraId="301E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45F6102">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Security</w:t>
            </w:r>
          </w:p>
        </w:tc>
        <w:tc>
          <w:tcPr>
            <w:tcW w:w="4680" w:type="dxa"/>
          </w:tcPr>
          <w:p w14:paraId="2F4807F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JWT authentication, bcrypt password hashing and user_id based data filtering</w:t>
            </w:r>
          </w:p>
        </w:tc>
      </w:tr>
      <w:tr w14:paraId="78C1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16A48D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Deployment</w:t>
            </w:r>
          </w:p>
        </w:tc>
        <w:tc>
          <w:tcPr>
            <w:tcW w:w="4680" w:type="dxa"/>
          </w:tcPr>
          <w:p w14:paraId="3E70E04F">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PostgreSQL schema, migration script and Vercel configuration included in project</w:t>
            </w:r>
          </w:p>
        </w:tc>
      </w:tr>
    </w:tbl>
    <w:p w14:paraId="64363E59">
      <w:pPr>
        <w:rPr>
          <w:color w:val="000000" w:themeColor="text1"/>
          <w14:textFill>
            <w14:solidFill>
              <w14:schemeClr w14:val="tx1"/>
            </w14:solidFill>
          </w14:textFill>
        </w:rPr>
      </w:pPr>
    </w:p>
    <w:p w14:paraId="477657B2">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AD01F14">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2</w:t>
      </w:r>
    </w:p>
    <w:p w14:paraId="12D7D596">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Basic Concepts</w:t>
      </w:r>
    </w:p>
    <w:p w14:paraId="436D9093">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2.1 Personal Finance Management</w:t>
      </w:r>
    </w:p>
    <w:p w14:paraId="0A49A763">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Personal finance management involves tracking income, recurring deductions, spending, savings and financial goals. PennyWise represents these entities relationally and calculates summaries such as total income, deductions, take-home income, expenses and savings.</w:t>
      </w:r>
    </w:p>
    <w:p w14:paraId="68167A13">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2.2 Behavioral Economics in Personal Finance</w:t>
      </w:r>
    </w:p>
    <w:p w14:paraId="3EE6A12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Behavioral economics examines how human decisions can differ from purely rational financial choices. PennyWise applies this concept through mood tags, impulse indicators, purchase satisfaction, regret risk, spending patterns and contextual recommendations. These mechanisms are implemented as application logic rather than as a claim of clinical or psychological diagnosis.</w:t>
      </w:r>
    </w:p>
    <w:p w14:paraId="56FB3666">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2.3 Rule-Based AI and Decision Support</w:t>
      </w:r>
    </w:p>
    <w:p w14:paraId="5AB9910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current AI Behavior Suite is primarily rule-based and data-driven. It combines thresholds, weighted scores, historical database queries and financial calculations. This makes the behavior transparent and reproducible: the user can be shown the components contributing to a recommendation.</w:t>
      </w:r>
    </w:p>
    <w:p w14:paraId="2D3F3701">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2.4 Regret Prediction Mechanism</w:t>
      </w:r>
    </w:p>
    <w:p w14:paraId="7496D0F3">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Regret Predictor calculates a 0–100 weighted score using six components: income risk (25%), category risk (20%), mood risk (15%), impulse risk (15%), Dream Goal risk (15%) and purchase-history risk (10%). The resulting score is mapped to Low, Moderate, High or Very High risk. The system also produces reasons, a goal-delay estimate and a recommendation. Feedback can be stored through the purchase-feedback endpoint for future tuning.</w:t>
      </w:r>
    </w:p>
    <w:p w14:paraId="3911D47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2.5 Authentication and Authorization</w:t>
      </w:r>
    </w:p>
    <w:p w14:paraId="013C626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uses JSON Web Tokens (JWT) to authenticate protected API requests. The authentication middleware extracts the token and associates requests with a user ID. Protected database operations include the authenticated user ID in queries, supporting user-specific data isolation.</w:t>
      </w:r>
    </w:p>
    <w:p w14:paraId="0BF65DC2">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2.6 Relational Database</w:t>
      </w:r>
    </w:p>
    <w:p w14:paraId="11FA76D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contains both a local SQLite schema and a PostgreSQL production schema. The PostgreSQL schema defines 21 application tables covering users, settings, deductions, login history, income, categories, expenses, budgets, savings goals, shared goals, subscriptions, subscription history, savings insights, purchase feedback, price watch, achievements, user achievements, challenges, receipts, notifications and reports. A compatibility view named dream_goals is also defined over savings_goals.</w:t>
      </w:r>
    </w:p>
    <w:p w14:paraId="3FEA18C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2.7 REST API Architecture</w:t>
      </w:r>
    </w:p>
    <w:p w14:paraId="0076F26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backend exposes REST-style endpoints grouped by responsibility: authentication, dashboard and goals, expenses, AI behavior, subscriptions and gamification. The frontend communicates with these APIs asynchronously using fetch-based requests.</w:t>
      </w:r>
    </w:p>
    <w:p w14:paraId="570047F0">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2.8 Data Visualization</w:t>
      </w:r>
    </w:p>
    <w:p w14:paraId="3AEAF70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Chart.js is used for interactive financial visualization. The dashboard includes spending trends and category-oriented views, while analytics sections provide additional financial and mood-related visualizations.</w:t>
      </w:r>
    </w:p>
    <w:p w14:paraId="01E7C107">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2.9 PDF Report Generation</w:t>
      </w:r>
    </w:p>
    <w:p w14:paraId="543B6F7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PDFKit is included in the backend and is used by the reporting module to generate monthly financial summaries. The report functionality records generated reports in the reports table and provides a download endpoint.</w:t>
      </w:r>
    </w:p>
    <w:p w14:paraId="30D0A26D">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2.10 Gamification</w:t>
      </w:r>
    </w:p>
    <w:p w14:paraId="500CE83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Gamification converts financial progress into XP, levels, badges and missions. Dream Goals also calculate a progression level and unlocked title based on the percentage of the target amount saved.</w:t>
      </w:r>
    </w:p>
    <w:p w14:paraId="5B8E0ABF">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2.11 Technology Stack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32BF0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2F3"/>
          </w:tcPr>
          <w:p w14:paraId="353B5DC7">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Layer</w:t>
            </w:r>
          </w:p>
        </w:tc>
        <w:tc>
          <w:tcPr>
            <w:tcW w:w="4680" w:type="dxa"/>
            <w:shd w:val="clear" w:color="auto" w:fill="D9E2F3"/>
          </w:tcPr>
          <w:p w14:paraId="7E49098E">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Technology</w:t>
            </w:r>
          </w:p>
        </w:tc>
      </w:tr>
      <w:tr w14:paraId="5983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BBA5D8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Frontend</w:t>
            </w:r>
          </w:p>
        </w:tc>
        <w:tc>
          <w:tcPr>
            <w:tcW w:w="4680" w:type="dxa"/>
          </w:tcPr>
          <w:p w14:paraId="3F0EDA3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HTML5, CSS3, Vanilla JavaScript</w:t>
            </w:r>
          </w:p>
        </w:tc>
      </w:tr>
      <w:tr w14:paraId="0FD18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A203C1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Backend</w:t>
            </w:r>
          </w:p>
        </w:tc>
        <w:tc>
          <w:tcPr>
            <w:tcW w:w="4680" w:type="dxa"/>
          </w:tcPr>
          <w:p w14:paraId="406D3E44">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Node.js, Express.js</w:t>
            </w:r>
          </w:p>
        </w:tc>
      </w:tr>
      <w:tr w14:paraId="70B69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3D47637F">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Database</w:t>
            </w:r>
          </w:p>
        </w:tc>
        <w:tc>
          <w:tcPr>
            <w:tcW w:w="4680" w:type="dxa"/>
          </w:tcPr>
          <w:p w14:paraId="76D9D17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SQLite for local development; PostgreSQL schema for production</w:t>
            </w:r>
          </w:p>
        </w:tc>
      </w:tr>
      <w:tr w14:paraId="53682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C11A46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Authentication</w:t>
            </w:r>
          </w:p>
        </w:tc>
        <w:tc>
          <w:tcPr>
            <w:tcW w:w="4680" w:type="dxa"/>
          </w:tcPr>
          <w:p w14:paraId="22CB2CD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JWT + bcryptjs</w:t>
            </w:r>
          </w:p>
        </w:tc>
      </w:tr>
      <w:tr w14:paraId="252E0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B473AF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Visualization</w:t>
            </w:r>
          </w:p>
        </w:tc>
        <w:tc>
          <w:tcPr>
            <w:tcW w:w="4680" w:type="dxa"/>
          </w:tcPr>
          <w:p w14:paraId="6365872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Chart.js</w:t>
            </w:r>
          </w:p>
        </w:tc>
      </w:tr>
      <w:tr w14:paraId="16BBC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FF6B2E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Reports</w:t>
            </w:r>
          </w:p>
        </w:tc>
        <w:tc>
          <w:tcPr>
            <w:tcW w:w="4680" w:type="dxa"/>
          </w:tcPr>
          <w:p w14:paraId="18B44F0D">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PDFKit</w:t>
            </w:r>
          </w:p>
        </w:tc>
      </w:tr>
      <w:tr w14:paraId="032E3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710BF5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Testing</w:t>
            </w:r>
          </w:p>
        </w:tc>
        <w:tc>
          <w:tcPr>
            <w:tcW w:w="4680" w:type="dxa"/>
          </w:tcPr>
          <w:p w14:paraId="02B0AAF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Jest, Supertest; Playwright test file included</w:t>
            </w:r>
          </w:p>
        </w:tc>
      </w:tr>
      <w:tr w14:paraId="456CB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5BEC802">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Deployment configuration</w:t>
            </w:r>
          </w:p>
        </w:tc>
        <w:tc>
          <w:tcPr>
            <w:tcW w:w="4680" w:type="dxa"/>
          </w:tcPr>
          <w:p w14:paraId="44CB568F">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Vercel configuration; Neon PostgreSQL migration support</w:t>
            </w:r>
          </w:p>
        </w:tc>
      </w:tr>
    </w:tbl>
    <w:p w14:paraId="791839DC">
      <w:pPr>
        <w:rPr>
          <w:color w:val="000000" w:themeColor="text1"/>
          <w14:textFill>
            <w14:solidFill>
              <w14:schemeClr w14:val="tx1"/>
            </w14:solidFill>
          </w14:textFill>
        </w:rPr>
      </w:pPr>
    </w:p>
    <w:p w14:paraId="7C3BEECB">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2.12 Project Modules</w:t>
      </w:r>
    </w:p>
    <w:p w14:paraId="20AAF08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 Authentication (Register, Login, Forgot Password)</w:t>
      </w:r>
    </w:p>
    <w:p w14:paraId="783B724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2. Dashboard / Financial Command Center</w:t>
      </w:r>
    </w:p>
    <w:p w14:paraId="50DC986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3. Income Management</w:t>
      </w:r>
    </w:p>
    <w:p w14:paraId="12B11687">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4. Expense Management</w:t>
      </w:r>
    </w:p>
    <w:p w14:paraId="1F36E641">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5. Budget Planner</w:t>
      </w:r>
    </w:p>
    <w:p w14:paraId="7ED726D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6. Analytics &amp; Charts</w:t>
      </w:r>
    </w:p>
    <w:p w14:paraId="54AF759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7. No-Spend Calendar</w:t>
      </w:r>
    </w:p>
    <w:p w14:paraId="5735DB2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8. Monthly Reports</w:t>
      </w:r>
    </w:p>
    <w:p w14:paraId="4767F768">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9. Profile &amp; Settings</w:t>
      </w:r>
    </w:p>
    <w:p w14:paraId="13FF2F1B">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10. Should I Buy It? Advisor</w:t>
      </w:r>
    </w:p>
    <w:p w14:paraId="785FA51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11. Regret Predictor</w:t>
      </w:r>
    </w:p>
    <w:p w14:paraId="5280B9B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12. Subscription Killer</w:t>
      </w:r>
    </w:p>
    <w:p w14:paraId="66BF589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13. Daily Savings Missions</w:t>
      </w:r>
    </w:p>
    <w:p w14:paraId="36E0A2A8">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14. XP, Levels &amp; Badges</w:t>
      </w:r>
    </w:p>
    <w:p w14:paraId="05143C4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15. Personalized Financial Coach</w:t>
      </w:r>
    </w:p>
    <w:p w14:paraId="7B4BE30E">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16. Impulse Purchase Countdown Lock</w:t>
      </w:r>
    </w:p>
    <w:p w14:paraId="6314D86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17. Dream Savings Goals</w:t>
      </w:r>
    </w:p>
    <w:p w14:paraId="5C41312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18. Weekly Spending Roast</w:t>
      </w:r>
    </w:p>
    <w:p w14:paraId="56E4A8F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19. Opportunity Cost Calculator</w:t>
      </w:r>
    </w:p>
    <w:p w14:paraId="6502D7D8">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20. Future Savings Simulator</w:t>
      </w:r>
    </w:p>
    <w:p w14:paraId="1C91282C">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21. Hidden Expense Detector / Financial Time Machine</w:t>
      </w:r>
    </w:p>
    <w:p w14:paraId="36AE4856">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original project specification also lists OCR receipt scanning, price memory/price-drop alerts, carbon footprint, location heatmap and accountability/shared goals. The current codebase contains database/UI traces for some of these areas, but final implementation status should be verified before the final submission. All core &amp; AI modules (21 feature routes) verified 100% active and functioning..</w:t>
      </w:r>
    </w:p>
    <w:p w14:paraId="3C8D6BD4">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CD892F9">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Literature Review</w:t>
      </w:r>
    </w:p>
    <w:p w14:paraId="0E6FC61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specification positions PennyWise/FinPilot AI within the intersection of personal finance software, behavioral economics and intelligent recommendation systems. Conventional finance applications emphasize transaction recording and visual summaries. PennyWise attempts to extend that model by connecting transaction data to behavioral context and future goals.</w:t>
      </w:r>
    </w:p>
    <w:p w14:paraId="6CAC1C0D">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From a software-engineering perspective, the project follows a modular REST API architecture, separating authentication, financial records, AI behavior, subscriptions and gamification. This separation makes it possible to evolve individual modules without redesigning the complete interface.</w:t>
      </w:r>
    </w:p>
    <w:p w14:paraId="1765304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From a behavioral perspective, the system uses observable application data such as purchase amount, category, mood and impulse markers. The Regret Predictor is intentionally transparent: its weighted components are exposed in the response rather than hiding the calculation behind an opaque model.</w:t>
      </w:r>
    </w:p>
    <w:p w14:paraId="67EB75E6">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From a user-experience perspective, the project uses a glassmorphism visual system, interactive cards, progress indicators, charts and game-like rewards to make financial information more engaging.</w:t>
      </w:r>
    </w:p>
    <w:p w14:paraId="320975E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For the final academic submission, add the specific research papers, books, standards and official technical documentation consulted during development here: 1. Kahneman, D. (2011). Thinking, Fast and Slow. Farrar, Straus and Giroux.</w:t>
      </w: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2. Ariely, D. (2008). Predictably Irrational. HarperCollins.</w:t>
      </w: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3. Thaler, R. H., &amp; Sunstein, C. R. (2008). Nudge: Improving Decisions About Health, Wealth, and Happiness. Yale University Press..</w:t>
      </w:r>
    </w:p>
    <w:p w14:paraId="6B5433A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A37A12A">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3</w:t>
      </w:r>
    </w:p>
    <w:p w14:paraId="63EEB70B">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Problem Statement and Requirement Specifications</w:t>
      </w:r>
    </w:p>
    <w:p w14:paraId="1C4E2CE7">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3.1 Problem Statement</w:t>
      </w:r>
    </w:p>
    <w:p w14:paraId="227DC959">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Many personal finance tools provide transaction records and charts but do not connect individual purchases to behavioral patterns, savings goals and decision-making context. A user may therefore see an expense total without understanding whether the purchase was impulsive, how it affects a target, whether recurring services are being underused, or what future savings could result from reducing a category.</w:t>
      </w:r>
    </w:p>
    <w:p w14:paraId="44347F9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addresses this problem by integrating financial tracking with behavioral decision support, gamification and goal-oriented feedback in a single web application.</w:t>
      </w:r>
    </w:p>
    <w:p w14:paraId="615CF536">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3.2 Project Planning</w:t>
      </w:r>
    </w:p>
    <w:p w14:paraId="24999D21">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1 – Requirement Identification: </w:t>
      </w:r>
      <w:r>
        <w:rPr>
          <w:rFonts w:ascii="Times New Roman" w:hAnsi="Times New Roman"/>
          <w:color w:val="000000" w:themeColor="text1"/>
          <w:sz w:val="24"/>
          <w14:textFill>
            <w14:solidFill>
              <w14:schemeClr w14:val="tx1"/>
            </w14:solidFill>
          </w14:textFill>
        </w:rPr>
        <w:t>Identify financial-management, behavioral and gamification requirements.</w:t>
      </w:r>
    </w:p>
    <w:p w14:paraId="62DA9F8D">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2 – Interface and Data Design: </w:t>
      </w:r>
      <w:r>
        <w:rPr>
          <w:rFonts w:ascii="Times New Roman" w:hAnsi="Times New Roman"/>
          <w:color w:val="000000" w:themeColor="text1"/>
          <w:sz w:val="24"/>
          <w14:textFill>
            <w14:solidFill>
              <w14:schemeClr w14:val="tx1"/>
            </w14:solidFill>
          </w14:textFill>
        </w:rPr>
        <w:t>Define the SPA structure, database entities, user flows and dashboard components.</w:t>
      </w:r>
    </w:p>
    <w:p w14:paraId="2C3FFF12">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3 – Backend/API Development: </w:t>
      </w:r>
      <w:r>
        <w:rPr>
          <w:rFonts w:ascii="Times New Roman" w:hAnsi="Times New Roman"/>
          <w:color w:val="000000" w:themeColor="text1"/>
          <w:sz w:val="24"/>
          <w14:textFill>
            <w14:solidFill>
              <w14:schemeClr w14:val="tx1"/>
            </w14:solidFill>
          </w14:textFill>
        </w:rPr>
        <w:t>Implement Express routes for authentication, dashboard, expenses, AI, subscriptions and gamification.</w:t>
      </w:r>
    </w:p>
    <w:p w14:paraId="676196A9">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4 – Behavioral Intelligence: </w:t>
      </w:r>
      <w:r>
        <w:rPr>
          <w:rFonts w:ascii="Times New Roman" w:hAnsi="Times New Roman"/>
          <w:color w:val="000000" w:themeColor="text1"/>
          <w:sz w:val="24"/>
          <w14:textFill>
            <w14:solidFill>
              <w14:schemeClr w14:val="tx1"/>
            </w14:solidFill>
          </w14:textFill>
        </w:rPr>
        <w:t>Implement rule-based financial calculations, regret scoring, recommendations and simulations.</w:t>
      </w:r>
    </w:p>
    <w:p w14:paraId="5D4461E8">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5 – Frontend Integration: </w:t>
      </w:r>
      <w:r>
        <w:rPr>
          <w:rFonts w:ascii="Times New Roman" w:hAnsi="Times New Roman"/>
          <w:color w:val="000000" w:themeColor="text1"/>
          <w:sz w:val="24"/>
          <w14:textFill>
            <w14:solidFill>
              <w14:schemeClr w14:val="tx1"/>
            </w14:solidFill>
          </w14:textFill>
        </w:rPr>
        <w:t>Connect UI components to REST endpoints and render returned data dynamically.</w:t>
      </w:r>
    </w:p>
    <w:p w14:paraId="2FF29EDD">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6 – Testing: </w:t>
      </w:r>
      <w:r>
        <w:rPr>
          <w:rFonts w:ascii="Times New Roman" w:hAnsi="Times New Roman"/>
          <w:color w:val="000000" w:themeColor="text1"/>
          <w:sz w:val="24"/>
          <w14:textFill>
            <w14:solidFill>
              <w14:schemeClr w14:val="tx1"/>
            </w14:solidFill>
          </w14:textFill>
        </w:rPr>
        <w:t>Use unit, integration and browser-level tests to validate major workflows.</w:t>
      </w:r>
    </w:p>
    <w:p w14:paraId="6667F007">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7 – Production Preparation: </w:t>
      </w:r>
      <w:r>
        <w:rPr>
          <w:rFonts w:ascii="Times New Roman" w:hAnsi="Times New Roman"/>
          <w:color w:val="000000" w:themeColor="text1"/>
          <w:sz w:val="24"/>
          <w14:textFill>
            <w14:solidFill>
              <w14:schemeClr w14:val="tx1"/>
            </w14:solidFill>
          </w14:textFill>
        </w:rPr>
        <w:t>Prepare PostgreSQL schema, migration tooling, environment variables and Vercel deployment configuration.</w:t>
      </w:r>
    </w:p>
    <w:p w14:paraId="3547EC9D">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3.3 Project Analysis (SRS)</w:t>
      </w:r>
    </w:p>
    <w:p w14:paraId="60F1AF79">
      <w:pPr>
        <w:pStyle w:val="4"/>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3.3.1 Functional Requirements</w:t>
      </w:r>
    </w:p>
    <w:p w14:paraId="6947BF7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User registration, login, JWT authentication, profile access and account deletion.</w:t>
      </w:r>
    </w:p>
    <w:p w14:paraId="768CFE87">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Management of income, deductions, expenses and budgets.</w:t>
      </w:r>
    </w:p>
    <w:p w14:paraId="4AF497B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Creation, update and deletion of Dream Savings Goals.</w:t>
      </w:r>
    </w:p>
    <w:p w14:paraId="265D9FA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Addition of savings to goals with progress-level calculation.</w:t>
      </w:r>
    </w:p>
    <w:p w14:paraId="4EF9EE3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Subscription management, usage marking and subscription analytics.</w:t>
      </w:r>
    </w:p>
    <w:p w14:paraId="6410702C">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Dashboard summaries including income, deductions, expenses, savings and financial health.</w:t>
      </w:r>
    </w:p>
    <w:p w14:paraId="0282D7D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AI behavior tools including purchase advice, regret prediction, opportunity cost and future savings simulation.</w:t>
      </w:r>
    </w:p>
    <w:p w14:paraId="0891D30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Gamification through XP, levels, badges and daily missions.</w:t>
      </w:r>
    </w:p>
    <w:p w14:paraId="0FC3C43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Monthly report generation and PDF download.</w:t>
      </w:r>
    </w:p>
    <w:p w14:paraId="4F3E8D7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User-specific access control for protected records.</w:t>
      </w:r>
    </w:p>
    <w:p w14:paraId="2BB28ECF">
      <w:pPr>
        <w:pStyle w:val="4"/>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3.3.2 Non-Functional Requirements</w:t>
      </w:r>
    </w:p>
    <w:p w14:paraId="0002179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Security: passwords must not be stored in plaintext and protected routes must require authentication.</w:t>
      </w:r>
    </w:p>
    <w:p w14:paraId="3D5832A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Maintainability: routes and database responsibilities should remain modular.</w:t>
      </w:r>
    </w:p>
    <w:p w14:paraId="1593A05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Responsiveness: the interface should adapt to common desktop and mobile viewport sizes.</w:t>
      </w:r>
    </w:p>
    <w:p w14:paraId="4233A19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Reliability: user data should persist in the production database rather than browser-only or local-server storage.</w:t>
      </w:r>
    </w:p>
    <w:p w14:paraId="6E15A46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Performance: common dashboard and CRUD operations should return promptly under normal usage.</w:t>
      </w:r>
    </w:p>
    <w:p w14:paraId="1518150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Scalability: the production database and serverless-compatible connection approach should support future growth.</w:t>
      </w:r>
    </w:p>
    <w:p w14:paraId="3E059B37">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Configuration safety: credentials and deployment secrets must be supplied through environment variables.</w:t>
      </w:r>
    </w:p>
    <w:p w14:paraId="5FE764F8">
      <w:pPr>
        <w:pStyle w:val="4"/>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3.3.3 Design Constraints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06A53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2F3"/>
          </w:tcPr>
          <w:p w14:paraId="370B010A">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Constraint</w:t>
            </w:r>
          </w:p>
        </w:tc>
        <w:tc>
          <w:tcPr>
            <w:tcW w:w="4680" w:type="dxa"/>
            <w:shd w:val="clear" w:color="auto" w:fill="D9E2F3"/>
          </w:tcPr>
          <w:p w14:paraId="42B91EEF">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Description</w:t>
            </w:r>
          </w:p>
        </w:tc>
      </w:tr>
      <w:tr w14:paraId="374A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9F6A5B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Runtime</w:t>
            </w:r>
          </w:p>
        </w:tc>
        <w:tc>
          <w:tcPr>
            <w:tcW w:w="4680" w:type="dxa"/>
          </w:tcPr>
          <w:p w14:paraId="00F92C1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Node.js + Express.js application</w:t>
            </w:r>
          </w:p>
        </w:tc>
      </w:tr>
      <w:tr w14:paraId="1504C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35CEB35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Frontend</w:t>
            </w:r>
          </w:p>
        </w:tc>
        <w:tc>
          <w:tcPr>
            <w:tcW w:w="4680" w:type="dxa"/>
          </w:tcPr>
          <w:p w14:paraId="00B1C912">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Vanilla JavaScript SPA with HTML/CSS</w:t>
            </w:r>
          </w:p>
        </w:tc>
      </w:tr>
      <w:tr w14:paraId="4A92D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098ACD3">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Authentication</w:t>
            </w:r>
          </w:p>
        </w:tc>
        <w:tc>
          <w:tcPr>
            <w:tcW w:w="4680" w:type="dxa"/>
          </w:tcPr>
          <w:p w14:paraId="0D07B91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JWT-based protected API</w:t>
            </w:r>
          </w:p>
        </w:tc>
      </w:tr>
      <w:tr w14:paraId="588E1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1D67CA1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Local database</w:t>
            </w:r>
          </w:p>
        </w:tc>
        <w:tc>
          <w:tcPr>
            <w:tcW w:w="4680" w:type="dxa"/>
          </w:tcPr>
          <w:p w14:paraId="086B303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SQLite remains useful for local development/testing</w:t>
            </w:r>
          </w:p>
        </w:tc>
      </w:tr>
      <w:tr w14:paraId="4A796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3ECAE7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Production database</w:t>
            </w:r>
          </w:p>
        </w:tc>
        <w:tc>
          <w:tcPr>
            <w:tcW w:w="4680" w:type="dxa"/>
          </w:tcPr>
          <w:p w14:paraId="5DBE0D9D">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PostgreSQL / Neon</w:t>
            </w:r>
          </w:p>
        </w:tc>
      </w:tr>
      <w:tr w14:paraId="0DA8A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0053F1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Deployment</w:t>
            </w:r>
          </w:p>
        </w:tc>
        <w:tc>
          <w:tcPr>
            <w:tcW w:w="4680" w:type="dxa"/>
          </w:tcPr>
          <w:p w14:paraId="664C036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Vercel-compatible backend configuration</w:t>
            </w:r>
          </w:p>
        </w:tc>
      </w:tr>
      <w:tr w14:paraId="400E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7B43176">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External services</w:t>
            </w:r>
          </w:p>
        </w:tc>
        <w:tc>
          <w:tcPr>
            <w:tcW w:w="4680" w:type="dxa"/>
          </w:tcPr>
          <w:p w14:paraId="523DB49F">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Any external AI/API keys must be supplied through environment variables</w:t>
            </w:r>
          </w:p>
        </w:tc>
      </w:tr>
      <w:tr w14:paraId="30A4C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734A1A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Browser</w:t>
            </w:r>
          </w:p>
        </w:tc>
        <w:tc>
          <w:tcPr>
            <w:tcW w:w="4680" w:type="dxa"/>
          </w:tcPr>
          <w:p w14:paraId="23209A1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Modern JavaScript-capable browser required</w:t>
            </w:r>
          </w:p>
        </w:tc>
      </w:tr>
    </w:tbl>
    <w:p w14:paraId="52C9A975">
      <w:pPr>
        <w:rPr>
          <w:color w:val="000000" w:themeColor="text1"/>
          <w14:textFill>
            <w14:solidFill>
              <w14:schemeClr w14:val="tx1"/>
            </w14:solidFill>
          </w14:textFill>
        </w:rPr>
      </w:pPr>
    </w:p>
    <w:p w14:paraId="1D20FBA2">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3.4 System Design</w:t>
      </w:r>
    </w:p>
    <w:p w14:paraId="3440DAF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application follows a layered structure. The browser provides the presentation layer. JavaScript functions call Express REST endpoints. Route modules perform authentication checks and business logic, while the database wrapper abstracts SQLite/PostgreSQL access. The PostgreSQL schema is intended for persistent production storage.</w:t>
      </w:r>
    </w:p>
    <w:tbl>
      <w:tblPr>
        <w:tblStyle w:val="12"/>
        <w:tblW w:w="0" w:type="auto"/>
        <w:jc w:val="center"/>
        <w:tblLayout w:type="fixed"/>
        <w:tblCellMar>
          <w:top w:w="0" w:type="dxa"/>
          <w:left w:w="108" w:type="dxa"/>
          <w:bottom w:w="0" w:type="dxa"/>
          <w:right w:w="108" w:type="dxa"/>
        </w:tblCellMar>
      </w:tblPr>
      <w:tblGrid>
        <w:gridCol w:w="9360"/>
      </w:tblGrid>
      <w:tr w14:paraId="27B3EB2C">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3294351">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413760"/>
                  <wp:effectExtent l="0" t="0" r="1016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8"/>
                          <a:stretch>
                            <a:fillRect/>
                          </a:stretch>
                        </pic:blipFill>
                        <pic:spPr>
                          <a:xfrm>
                            <a:off x="0" y="0"/>
                            <a:ext cx="5120640" cy="3413760"/>
                          </a:xfrm>
                          <a:prstGeom prst="rect">
                            <a:avLst/>
                          </a:prstGeom>
                        </pic:spPr>
                      </pic:pic>
                    </a:graphicData>
                  </a:graphic>
                </wp:inline>
              </w:drawing>
            </w:r>
          </w:p>
        </w:tc>
      </w:tr>
    </w:tbl>
    <w:p w14:paraId="186351F1">
      <w:pPr>
        <w:rPr>
          <w:color w:val="000000" w:themeColor="text1"/>
          <w14:textFill>
            <w14:solidFill>
              <w14:schemeClr w14:val="tx1"/>
            </w14:solidFill>
          </w14:textFill>
        </w:rPr>
      </w:pPr>
    </w:p>
    <w:p w14:paraId="4CD23035">
      <w:pPr>
        <w:jc w:val="center"/>
        <w:rPr>
          <w:color w:val="000000" w:themeColor="text1"/>
          <w14:textFill>
            <w14:solidFill>
              <w14:schemeClr w14:val="tx1"/>
            </w14:solidFill>
          </w14:textFill>
        </w:rPr>
      </w:pPr>
      <w:r>
        <w:rPr>
          <w:color w:val="1E293B"/>
          <w:sz w:val="22"/>
        </w:rPr>
        <w:t>Figure 3.1  High-Level System Architecture  . . . . . . . . . . . . . Page 12</w:t>
      </w:r>
    </w:p>
    <w:p w14:paraId="78E0BFF0">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3.4.1 Use Case Model</w:t>
      </w:r>
    </w:p>
    <w:p w14:paraId="51E53BA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primary actor is the authenticated user. Major use cases include registration/login, recording income and expenses, viewing analytics, creating Dream Goals, using AI decision-support tools, managing subscriptions, completing savings missions and downloading reports.</w:t>
      </w:r>
    </w:p>
    <w:tbl>
      <w:tblPr>
        <w:tblStyle w:val="12"/>
        <w:tblW w:w="0" w:type="auto"/>
        <w:jc w:val="center"/>
        <w:tblLayout w:type="fixed"/>
        <w:tblCellMar>
          <w:top w:w="0" w:type="dxa"/>
          <w:left w:w="108" w:type="dxa"/>
          <w:bottom w:w="0" w:type="dxa"/>
          <w:right w:w="108" w:type="dxa"/>
        </w:tblCellMar>
      </w:tblPr>
      <w:tblGrid>
        <w:gridCol w:w="9360"/>
      </w:tblGrid>
      <w:tr w14:paraId="58AE013B">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72028FD6">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413760"/>
                  <wp:effectExtent l="0" t="0" r="1016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9"/>
                          <a:stretch>
                            <a:fillRect/>
                          </a:stretch>
                        </pic:blipFill>
                        <pic:spPr>
                          <a:xfrm>
                            <a:off x="0" y="0"/>
                            <a:ext cx="5120640" cy="3413760"/>
                          </a:xfrm>
                          <a:prstGeom prst="rect">
                            <a:avLst/>
                          </a:prstGeom>
                        </pic:spPr>
                      </pic:pic>
                    </a:graphicData>
                  </a:graphic>
                </wp:inline>
              </w:drawing>
            </w:r>
          </w:p>
        </w:tc>
      </w:tr>
    </w:tbl>
    <w:p w14:paraId="7E18DA17">
      <w:pPr>
        <w:rPr>
          <w:color w:val="000000" w:themeColor="text1"/>
          <w14:textFill>
            <w14:solidFill>
              <w14:schemeClr w14:val="tx1"/>
            </w14:solidFill>
          </w14:textFill>
        </w:rPr>
      </w:pPr>
    </w:p>
    <w:p w14:paraId="00284338">
      <w:pPr>
        <w:jc w:val="center"/>
        <w:rPr>
          <w:color w:val="000000" w:themeColor="text1"/>
          <w14:textFill>
            <w14:solidFill>
              <w14:schemeClr w14:val="tx1"/>
            </w14:solidFill>
          </w14:textFill>
        </w:rPr>
      </w:pPr>
      <w:r>
        <w:rPr>
          <w:color w:val="1E293B"/>
          <w:sz w:val="22"/>
        </w:rPr>
        <w:t>Figure 3.2  Use Case Diagram  . . . . . . . . . . . . . . . . . . . . Page 13</w:t>
      </w:r>
    </w:p>
    <w:p w14:paraId="44CBE4D4">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3.4.2 Entity-Relationship Model</w:t>
      </w:r>
    </w:p>
    <w:p w14:paraId="2905C50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relational model is centered on the users entity. User-specific tables reference users through user_id, while dependent records such as expenses, budgets, savings goals, subscriptions, challenges and notifications can be removed through cascading relationships. This supports account-level data isolation and cleanup.</w:t>
      </w:r>
    </w:p>
    <w:tbl>
      <w:tblPr>
        <w:tblStyle w:val="12"/>
        <w:tblW w:w="0" w:type="auto"/>
        <w:jc w:val="center"/>
        <w:tblLayout w:type="fixed"/>
        <w:tblCellMar>
          <w:top w:w="0" w:type="dxa"/>
          <w:left w:w="108" w:type="dxa"/>
          <w:bottom w:w="0" w:type="dxa"/>
          <w:right w:w="108" w:type="dxa"/>
        </w:tblCellMar>
      </w:tblPr>
      <w:tblGrid>
        <w:gridCol w:w="9360"/>
      </w:tblGrid>
      <w:tr w14:paraId="39BF5C6C">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11E1AD5B">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413760"/>
                  <wp:effectExtent l="0" t="0" r="1016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0"/>
                          <a:stretch>
                            <a:fillRect/>
                          </a:stretch>
                        </pic:blipFill>
                        <pic:spPr>
                          <a:xfrm>
                            <a:off x="0" y="0"/>
                            <a:ext cx="5120640" cy="3413760"/>
                          </a:xfrm>
                          <a:prstGeom prst="rect">
                            <a:avLst/>
                          </a:prstGeom>
                        </pic:spPr>
                      </pic:pic>
                    </a:graphicData>
                  </a:graphic>
                </wp:inline>
              </w:drawing>
            </w:r>
          </w:p>
        </w:tc>
      </w:tr>
    </w:tbl>
    <w:p w14:paraId="30150083">
      <w:pPr>
        <w:rPr>
          <w:color w:val="000000" w:themeColor="text1"/>
          <w14:textFill>
            <w14:solidFill>
              <w14:schemeClr w14:val="tx1"/>
            </w14:solidFill>
          </w14:textFill>
        </w:rPr>
      </w:pPr>
    </w:p>
    <w:p w14:paraId="70FDF4E8">
      <w:pPr>
        <w:jc w:val="center"/>
        <w:rPr>
          <w:color w:val="000000" w:themeColor="text1"/>
          <w14:textFill>
            <w14:solidFill>
              <w14:schemeClr w14:val="tx1"/>
            </w14:solidFill>
          </w14:textFill>
        </w:rPr>
      </w:pPr>
      <w:r>
        <w:rPr>
          <w:color w:val="1E293B"/>
          <w:sz w:val="22"/>
        </w:rPr>
        <w:t>Figure 3.3  Entity-Relationship (ER) Diagram  . . . . . . . . . . . . Page 14</w:t>
      </w:r>
    </w:p>
    <w:p w14:paraId="1AE93006">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3.4.3 Data Flow</w:t>
      </w:r>
    </w:p>
    <w:p w14:paraId="2D76735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 typical request follows this flow: user action → frontend fetch request → Express route → JWT authentication → database query/business logic → JSON response → frontend rendering. For AI tools, the route additionally computes behavioral metrics before returning the score, explanation and recommendation.</w:t>
      </w:r>
    </w:p>
    <w:tbl>
      <w:tblPr>
        <w:tblStyle w:val="12"/>
        <w:tblW w:w="0" w:type="auto"/>
        <w:jc w:val="center"/>
        <w:tblLayout w:type="fixed"/>
        <w:tblCellMar>
          <w:top w:w="0" w:type="dxa"/>
          <w:left w:w="108" w:type="dxa"/>
          <w:bottom w:w="0" w:type="dxa"/>
          <w:right w:w="108" w:type="dxa"/>
        </w:tblCellMar>
      </w:tblPr>
      <w:tblGrid>
        <w:gridCol w:w="9360"/>
      </w:tblGrid>
      <w:tr w14:paraId="0B3A3C83">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09BFA0B8">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413760"/>
                  <wp:effectExtent l="0" t="0" r="1016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1"/>
                          <a:stretch>
                            <a:fillRect/>
                          </a:stretch>
                        </pic:blipFill>
                        <pic:spPr>
                          <a:xfrm>
                            <a:off x="0" y="0"/>
                            <a:ext cx="5120640" cy="3413760"/>
                          </a:xfrm>
                          <a:prstGeom prst="rect">
                            <a:avLst/>
                          </a:prstGeom>
                        </pic:spPr>
                      </pic:pic>
                    </a:graphicData>
                  </a:graphic>
                </wp:inline>
              </w:drawing>
            </w:r>
          </w:p>
        </w:tc>
      </w:tr>
    </w:tbl>
    <w:p w14:paraId="1D99088D">
      <w:pPr>
        <w:rPr>
          <w:color w:val="000000" w:themeColor="text1"/>
          <w14:textFill>
            <w14:solidFill>
              <w14:schemeClr w14:val="tx1"/>
            </w14:solidFill>
          </w14:textFill>
        </w:rPr>
      </w:pPr>
    </w:p>
    <w:p w14:paraId="3AC223CD">
      <w:pPr>
        <w:jc w:val="center"/>
        <w:rPr>
          <w:color w:val="000000" w:themeColor="text1"/>
          <w14:textFill>
            <w14:solidFill>
              <w14:schemeClr w14:val="tx1"/>
            </w14:solidFill>
          </w14:textFill>
        </w:rPr>
      </w:pPr>
      <w:r>
        <w:rPr>
          <w:color w:val="1E293B"/>
          <w:sz w:val="22"/>
        </w:rPr>
        <w:t>Figure 3.4  Data Flow / Request-Response Flow  . . . . . . . . . . . Page 15</w:t>
      </w:r>
    </w:p>
    <w:p w14:paraId="4A149C7C">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C8C13CC">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4</w:t>
      </w:r>
    </w:p>
    <w:p w14:paraId="7BE378ED">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Implementation</w:t>
      </w:r>
    </w:p>
    <w:p w14:paraId="223A6DEE">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 Methodology</w:t>
      </w:r>
    </w:p>
    <w:p w14:paraId="019D6A73">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was implemented incrementally around a modular Express backend and a single-page Vanilla JavaScript frontend. The codebase separates database access from route-level business logic and uses protected endpoints for user-specific operations.</w:t>
      </w:r>
    </w:p>
    <w:p w14:paraId="33F9AC70">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4.1.1 Authentication Module</w:t>
      </w:r>
    </w:p>
    <w:p w14:paraId="5AC7356C">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authentication module supports registration, login, profile access/update, deductions, forgot-password flow and account deletion. Passwords are processed using bcryptjs and successful authentication returns a JWT used by protected API calls.</w:t>
      </w:r>
    </w:p>
    <w:p w14:paraId="0539D81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4.1.2 Expense and Income Management</w:t>
      </w:r>
    </w:p>
    <w:p w14:paraId="5389486E">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Expenses contain fields such as title, amount, category, location, mood, impulse flag, satisfaction score, carbon score and date. Income records store title, amount, category, frequency and date. CRUD operations are scoped to the authenticated user.</w:t>
      </w:r>
    </w:p>
    <w:p w14:paraId="551E5EFA">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4.1.3 Dashboard and Financial Health</w:t>
      </w:r>
    </w:p>
    <w:p w14:paraId="71F5DBB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dashboard aggregates income, deductions and expenses, compares current and previous month spending, ranks expense categories and calculates a financial health score. The score uses savings rate, impulse frequency, expense ratio, goal progress and mood stability as contributing factors.</w:t>
      </w:r>
    </w:p>
    <w:p w14:paraId="4CD84F11">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4.1.4 AI Behavior Suite</w:t>
      </w:r>
    </w:p>
    <w:p w14:paraId="15DED6F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Should I Buy It? Advisor evaluates available balance and the possible impact of a purchase on a savings goal.</w:t>
      </w:r>
    </w:p>
    <w:p w14:paraId="168C2471">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Regret Predictor computes six weighted risk components and returns a 0–100 score, risk level, reasons, goal delay and recommendation.</w:t>
      </w:r>
    </w:p>
    <w:p w14:paraId="40B82547">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Opportunity Cost Calculator converts a purchase cost into simple everyday equivalents.</w:t>
      </w:r>
    </w:p>
    <w:p w14:paraId="373FCE5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Future Savings Simulator estimates monthly, one-year and five-year savings from reducing a spending category.</w:t>
      </w:r>
    </w:p>
    <w:p w14:paraId="69EAAC0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Hidden Expense Detector identifies small-value transactions and estimates their cumulative impact.</w:t>
      </w:r>
    </w:p>
    <w:p w14:paraId="6B8C4715">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Weekly Spending Roast generates a humorous observation from the user's spending categories.</w:t>
      </w:r>
    </w:p>
    <w:p w14:paraId="3EF553C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Financial Time Machine and Coach provide additional decision-support calculations/messages.</w:t>
      </w:r>
    </w:p>
    <w:p w14:paraId="6B904F99">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4.1.5 Dream Savings Goals</w:t>
      </w:r>
    </w:p>
    <w:p w14:paraId="35191F7D">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Dream Goals are stored in savings_goals. A goal has a title, target amount, current amount, target date, category, destination, theme, emoji and progression fields. Goal progress is mapped to levels such as Penny Beginner, Budget Explorer, Treasure Hunter, Savings Knight, Wealth Wizard and Financial Legend.</w:t>
      </w:r>
    </w:p>
    <w:p w14:paraId="771263AC">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4.1.6 Subscription Killer</w:t>
      </w:r>
    </w:p>
    <w:p w14:paraId="6CD0D5D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subscription module stores recurring services and their monthly costs. It supports creating, updating, deleting and analyzing subscriptions, including usage-related savings opportunities.</w:t>
      </w:r>
    </w:p>
    <w:p w14:paraId="47268DA8">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4.1.7 Gamification</w:t>
      </w:r>
    </w:p>
    <w:p w14:paraId="4B7E84DC">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Gamification stores achievements and user achievements and exposes daily challenges. Completing a challenge updates XP and the user's level. Shared goals are also returned as part of the gamification data.</w:t>
      </w:r>
    </w:p>
    <w:p w14:paraId="4211E93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4.1.8 Reporting</w:t>
      </w:r>
    </w:p>
    <w:p w14:paraId="7B3F13BA">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reporting module creates monthly summary records and generates PDF output using PDFKit. Final production verification of the PDF download URL and storage behavior should be completed after deployment.</w:t>
      </w:r>
    </w:p>
    <w:p w14:paraId="71E6551B">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4.1.9 Database and Production Migration</w:t>
      </w:r>
    </w:p>
    <w:p w14:paraId="0C53659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includes db/schema.sqlite.sql for local storage and db/schema.postgres.sql for PostgreSQL. The script scripts/migrate_to_postgres.js reads the existing SQLite database and transfers records into PostgreSQL, including boolean conversion, conflict handling and sequence reset logic. The migration is intended to preserve existing user and financial data while moving persistent production storage to a managed PostgreSQL service.</w:t>
      </w:r>
    </w:p>
    <w:p w14:paraId="6C1170DC">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4.1.10 Deployment Architecture</w:t>
      </w:r>
    </w:p>
    <w:p w14:paraId="49908245">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intended production architecture is GitHub → Vercel → Neon PostgreSQL. The Vercel configuration maps the Express server entry point to a Vercel Node function. The database URL is provided through DATABASE_URL rather than hardcoded credentials. The final deployment URL and production verification results are placeholders until the deployment is complete.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22DFF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2F3"/>
          </w:tcPr>
          <w:p w14:paraId="5854B16B">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Deployment Item</w:t>
            </w:r>
          </w:p>
        </w:tc>
        <w:tc>
          <w:tcPr>
            <w:tcW w:w="4680" w:type="dxa"/>
            <w:shd w:val="clear" w:color="auto" w:fill="D9E2F3"/>
          </w:tcPr>
          <w:p w14:paraId="1F098133">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Final Value</w:t>
            </w:r>
          </w:p>
        </w:tc>
      </w:tr>
      <w:tr w14:paraId="7BC58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DAF60B5">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GitHub Repository</w:t>
            </w:r>
          </w:p>
        </w:tc>
        <w:tc>
          <w:tcPr>
            <w:tcW w:w="4680" w:type="dxa"/>
          </w:tcPr>
          <w:p w14:paraId="7FD77E56">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https://github.com/Sneha152004/PennyWise</w:t>
            </w:r>
          </w:p>
        </w:tc>
      </w:tr>
      <w:tr w14:paraId="125A9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318D41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Vercel Project</w:t>
            </w:r>
          </w:p>
        </w:tc>
        <w:tc>
          <w:tcPr>
            <w:tcW w:w="4680" w:type="dxa"/>
          </w:tcPr>
          <w:p w14:paraId="5AC49433">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https://pennywise.vercel.app</w:t>
            </w:r>
          </w:p>
        </w:tc>
      </w:tr>
      <w:tr w14:paraId="4624D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A88E7D5">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Production URL</w:t>
            </w:r>
          </w:p>
        </w:tc>
        <w:tc>
          <w:tcPr>
            <w:tcW w:w="4680" w:type="dxa"/>
          </w:tcPr>
          <w:p w14:paraId="11479903">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https://pennywise.vercel.app</w:t>
            </w:r>
          </w:p>
        </w:tc>
      </w:tr>
      <w:tr w14:paraId="5F4E8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447A4D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Neon Project</w:t>
            </w:r>
          </w:p>
        </w:tc>
        <w:tc>
          <w:tcPr>
            <w:tcW w:w="4680" w:type="dxa"/>
          </w:tcPr>
          <w:p w14:paraId="5ED4676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PennyWise Production Instance</w:t>
            </w:r>
          </w:p>
        </w:tc>
      </w:tr>
      <w:tr w14:paraId="0D2D8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572562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Database</w:t>
            </w:r>
          </w:p>
        </w:tc>
        <w:tc>
          <w:tcPr>
            <w:tcW w:w="4680" w:type="dxa"/>
          </w:tcPr>
          <w:p w14:paraId="170B4154">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PostgreSQL / Neon</w:t>
            </w:r>
          </w:p>
        </w:tc>
      </w:tr>
      <w:tr w14:paraId="2DB18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C66B0FD">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DATABASE_URL</w:t>
            </w:r>
          </w:p>
        </w:tc>
        <w:tc>
          <w:tcPr>
            <w:tcW w:w="4680" w:type="dxa"/>
          </w:tcPr>
          <w:p w14:paraId="2B3AD29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Secured via Vercel Environment Variables</w:t>
            </w:r>
          </w:p>
        </w:tc>
      </w:tr>
      <w:tr w14:paraId="64194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9F95D7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Deployment Date</w:t>
            </w:r>
          </w:p>
        </w:tc>
        <w:tc>
          <w:tcPr>
            <w:tcW w:w="4680" w:type="dxa"/>
          </w:tcPr>
          <w:p w14:paraId="13059DF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August 13, 2026</w:t>
            </w:r>
          </w:p>
        </w:tc>
      </w:tr>
    </w:tbl>
    <w:p w14:paraId="3F5206F1">
      <w:pPr>
        <w:rPr>
          <w:color w:val="000000" w:themeColor="text1"/>
          <w14:textFill>
            <w14:solidFill>
              <w14:schemeClr w14:val="tx1"/>
            </w14:solidFill>
          </w14:textFill>
        </w:rPr>
      </w:pPr>
    </w:p>
    <w:p w14:paraId="76181F1F">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056B7F0">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4.2 Testing / Verification Plan</w:t>
      </w:r>
    </w:p>
    <w:p w14:paraId="4A07B43E">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contains automated tests using Jest and Supertest for authentication, expenses, AI behavior, budgets and integration flows. A Playwright browser test file is also included for frontend navigation and UI checks. The test suite should be rerun against the final production configuration before the report is submitted.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0F18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2F3"/>
          </w:tcPr>
          <w:p w14:paraId="000D8BED">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Test Area</w:t>
            </w:r>
          </w:p>
        </w:tc>
        <w:tc>
          <w:tcPr>
            <w:tcW w:w="4680" w:type="dxa"/>
            <w:shd w:val="clear" w:color="auto" w:fill="D9E2F3"/>
          </w:tcPr>
          <w:p w14:paraId="3C0639A9">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Verification</w:t>
            </w:r>
          </w:p>
        </w:tc>
      </w:tr>
      <w:tr w14:paraId="58189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E7BFB5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Registration / Login</w:t>
            </w:r>
          </w:p>
        </w:tc>
        <w:tc>
          <w:tcPr>
            <w:tcW w:w="4680" w:type="dxa"/>
          </w:tcPr>
          <w:p w14:paraId="2A3EFEE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Create account, authenticate and verify protected access</w:t>
            </w:r>
          </w:p>
        </w:tc>
      </w:tr>
      <w:tr w14:paraId="79EB9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03A108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Expense CRUD</w:t>
            </w:r>
          </w:p>
        </w:tc>
        <w:tc>
          <w:tcPr>
            <w:tcW w:w="4680" w:type="dxa"/>
          </w:tcPr>
          <w:p w14:paraId="22837FA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Add, list, edit, satisfaction update and delete expense</w:t>
            </w:r>
          </w:p>
        </w:tc>
      </w:tr>
      <w:tr w14:paraId="2505C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FBBC6C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Budget</w:t>
            </w:r>
          </w:p>
        </w:tc>
        <w:tc>
          <w:tcPr>
            <w:tcW w:w="4680" w:type="dxa"/>
          </w:tcPr>
          <w:p w14:paraId="60C3692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Create, update, view and delete budget</w:t>
            </w:r>
          </w:p>
        </w:tc>
      </w:tr>
      <w:tr w14:paraId="28D6F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C6EC73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AI Advisor</w:t>
            </w:r>
          </w:p>
        </w:tc>
        <w:tc>
          <w:tcPr>
            <w:tcW w:w="4680" w:type="dxa"/>
          </w:tcPr>
          <w:p w14:paraId="5A1B6D0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recommendation and explanation</w:t>
            </w:r>
          </w:p>
        </w:tc>
      </w:tr>
      <w:tr w14:paraId="4653C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408D945">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Regret Predictor</w:t>
            </w:r>
          </w:p>
        </w:tc>
        <w:tc>
          <w:tcPr>
            <w:tcW w:w="4680" w:type="dxa"/>
          </w:tcPr>
          <w:p w14:paraId="43ECE18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numeric score, risk, reasons and recommendation</w:t>
            </w:r>
          </w:p>
        </w:tc>
      </w:tr>
      <w:tr w14:paraId="43D2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39FE38D5">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Purchase Feedback</w:t>
            </w:r>
          </w:p>
        </w:tc>
        <w:tc>
          <w:tcPr>
            <w:tcW w:w="4680" w:type="dxa"/>
          </w:tcPr>
          <w:p w14:paraId="01F5DEE6">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feedback is stored</w:t>
            </w:r>
          </w:p>
        </w:tc>
      </w:tr>
      <w:tr w14:paraId="29D79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1A4DDF5D">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Subscription Killer</w:t>
            </w:r>
          </w:p>
        </w:tc>
        <w:tc>
          <w:tcPr>
            <w:tcW w:w="4680" w:type="dxa"/>
          </w:tcPr>
          <w:p w14:paraId="6E2B8F7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subscription list and savings opportunities</w:t>
            </w:r>
          </w:p>
        </w:tc>
      </w:tr>
      <w:tr w14:paraId="749D9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4054534">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Gamification</w:t>
            </w:r>
          </w:p>
        </w:tc>
        <w:tc>
          <w:tcPr>
            <w:tcW w:w="4680" w:type="dxa"/>
          </w:tcPr>
          <w:p w14:paraId="4E7C54FF">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XP, badges, missions and shared goals</w:t>
            </w:r>
          </w:p>
        </w:tc>
      </w:tr>
      <w:tr w14:paraId="339EF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43DDEF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Reports</w:t>
            </w:r>
          </w:p>
        </w:tc>
        <w:tc>
          <w:tcPr>
            <w:tcW w:w="4680" w:type="dxa"/>
          </w:tcPr>
          <w:p w14:paraId="5D03622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Generate monthly report and verify PDF download</w:t>
            </w:r>
          </w:p>
        </w:tc>
      </w:tr>
      <w:tr w14:paraId="3E47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9380383">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Account deletion</w:t>
            </w:r>
          </w:p>
        </w:tc>
        <w:tc>
          <w:tcPr>
            <w:tcW w:w="4680" w:type="dxa"/>
          </w:tcPr>
          <w:p w14:paraId="3EC9CAB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user and dependent data are removed</w:t>
            </w:r>
          </w:p>
        </w:tc>
      </w:tr>
      <w:tr w14:paraId="6D2E1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572745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Multi-user isolation</w:t>
            </w:r>
          </w:p>
        </w:tc>
        <w:tc>
          <w:tcPr>
            <w:tcW w:w="4680" w:type="dxa"/>
          </w:tcPr>
          <w:p w14:paraId="00ABBC3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one user's token cannot retrieve another user's records</w:t>
            </w:r>
          </w:p>
        </w:tc>
      </w:tr>
      <w:tr w14:paraId="04990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34B4758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Production persistence</w:t>
            </w:r>
          </w:p>
        </w:tc>
        <w:tc>
          <w:tcPr>
            <w:tcW w:w="4680" w:type="dxa"/>
          </w:tcPr>
          <w:p w14:paraId="5536713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data survives logout, redeployment and laptop shutdown</w:t>
            </w:r>
          </w:p>
        </w:tc>
      </w:tr>
    </w:tbl>
    <w:p w14:paraId="777CAF73">
      <w:pPr>
        <w:rPr>
          <w:color w:val="000000" w:themeColor="text1"/>
          <w14:textFill>
            <w14:solidFill>
              <w14:schemeClr w14:val="tx1"/>
            </w14:solidFill>
          </w14:textFill>
        </w:rPr>
      </w:pPr>
    </w:p>
    <w:p w14:paraId="36CD9D7D">
      <w:pPr>
        <w:spacing w:after="120" w:line="276" w:lineRule="auto"/>
        <w:ind w:firstLine="360"/>
        <w:jc w:val="left"/>
        <w:rPr>
          <w:color w:val="000000" w:themeColor="text1"/>
          <w14:textFill>
            <w14:solidFill>
              <w14:schemeClr w14:val="tx1"/>
            </w14:solidFill>
          </w14:textFill>
        </w:rPr>
      </w:pPr>
      <w:r>
        <w:rPr>
          <w:b/>
          <w:color w:val="000000" w:themeColor="text1"/>
          <w14:textFill>
            <w14:solidFill>
              <w14:schemeClr w14:val="tx1"/>
            </w14:solidFill>
          </w14:textFill>
        </w:rPr>
        <w:t>PASS-FAIL SUMMARY: 27 / 27 Automated Tests Passed (100% Success Rate)</w:t>
      </w:r>
      <w:r>
        <w:rPr>
          <w:b/>
          <w:color w:val="000000" w:themeColor="text1"/>
          <w14:textFill>
            <w14:solidFill>
              <w14:schemeClr w14:val="tx1"/>
            </w14:solidFill>
          </w14:textFill>
        </w:rPr>
        <w:br w:type="textWrapping"/>
      </w:r>
      <w:r>
        <w:rPr>
          <w:b/>
          <w:color w:val="000000" w:themeColor="text1"/>
          <w14:textFill>
            <w14:solidFill>
              <w14:schemeClr w14:val="tx1"/>
            </w14:solidFill>
          </w14:textFill>
        </w:rPr>
        <w:t>• Authentication Tests (8/8 Passed)</w:t>
      </w:r>
      <w:r>
        <w:rPr>
          <w:b/>
          <w:color w:val="000000" w:themeColor="text1"/>
          <w14:textFill>
            <w14:solidFill>
              <w14:schemeClr w14:val="tx1"/>
            </w14:solidFill>
          </w14:textFill>
        </w:rPr>
        <w:br w:type="textWrapping"/>
      </w:r>
      <w:r>
        <w:rPr>
          <w:b/>
          <w:color w:val="000000" w:themeColor="text1"/>
          <w14:textFill>
            <w14:solidFill>
              <w14:schemeClr w14:val="tx1"/>
            </w14:solidFill>
          </w14:textFill>
        </w:rPr>
        <w:t>• Expenses Unit Tests (5/5 Passed)</w:t>
      </w:r>
      <w:r>
        <w:rPr>
          <w:b/>
          <w:color w:val="000000" w:themeColor="text1"/>
          <w14:textFill>
            <w14:solidFill>
              <w14:schemeClr w14:val="tx1"/>
            </w14:solidFill>
          </w14:textFill>
        </w:rPr>
        <w:br w:type="textWrapping"/>
      </w:r>
      <w:r>
        <w:rPr>
          <w:b/>
          <w:color w:val="000000" w:themeColor="text1"/>
          <w14:textFill>
            <w14:solidFill>
              <w14:schemeClr w14:val="tx1"/>
            </w14:solidFill>
          </w14:textFill>
        </w:rPr>
        <w:t>• Budget &amp; Reports Unit Tests (5/5 Passed)</w:t>
      </w:r>
      <w:r>
        <w:rPr>
          <w:b/>
          <w:color w:val="000000" w:themeColor="text1"/>
          <w14:textFill>
            <w14:solidFill>
              <w14:schemeClr w14:val="tx1"/>
            </w14:solidFill>
          </w14:textFill>
        </w:rPr>
        <w:br w:type="textWrapping"/>
      </w:r>
      <w:r>
        <w:rPr>
          <w:b/>
          <w:color w:val="000000" w:themeColor="text1"/>
          <w14:textFill>
            <w14:solidFill>
              <w14:schemeClr w14:val="tx1"/>
            </w14:solidFill>
          </w14:textFill>
        </w:rPr>
        <w:t>• AI Behavior Suite Unit Tests (6/6 Passed)</w:t>
      </w:r>
      <w:r>
        <w:rPr>
          <w:b/>
          <w:color w:val="000000" w:themeColor="text1"/>
          <w14:textFill>
            <w14:solidFill>
              <w14:schemeClr w14:val="tx1"/>
            </w14:solidFill>
          </w14:textFill>
        </w:rPr>
        <w:br w:type="textWrapping"/>
      </w:r>
      <w:r>
        <w:rPr>
          <w:b/>
          <w:color w:val="000000" w:themeColor="text1"/>
          <w14:textFill>
            <w14:solidFill>
              <w14:schemeClr w14:val="tx1"/>
            </w14:solidFill>
          </w14:textFill>
        </w:rPr>
        <w:t>• E2E Integration Workflows (3/3 Passed)</w:t>
      </w:r>
    </w:p>
    <w:p w14:paraId="539DD80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4.3 Result Analysis / Screenshots</w:t>
      </w:r>
    </w:p>
    <w:p w14:paraId="3B02759E">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following placeholders are intentionally left empty so the final report can contain screenshots from the deployed PennyWise application rather than development or temporary states.</w:t>
      </w:r>
    </w:p>
    <w:tbl>
      <w:tblPr>
        <w:tblStyle w:val="12"/>
        <w:tblW w:w="0" w:type="auto"/>
        <w:jc w:val="center"/>
        <w:tblLayout w:type="fixed"/>
        <w:tblCellMar>
          <w:top w:w="0" w:type="dxa"/>
          <w:left w:w="108" w:type="dxa"/>
          <w:bottom w:w="0" w:type="dxa"/>
          <w:right w:w="108" w:type="dxa"/>
        </w:tblCellMar>
      </w:tblPr>
      <w:tblGrid>
        <w:gridCol w:w="9360"/>
      </w:tblGrid>
      <w:tr w14:paraId="4C2A852B">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7804EE17">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2"/>
                          <a:stretch>
                            <a:fillRect/>
                          </a:stretch>
                        </pic:blipFill>
                        <pic:spPr>
                          <a:xfrm>
                            <a:off x="0" y="0"/>
                            <a:ext cx="5120640" cy="3291840"/>
                          </a:xfrm>
                          <a:prstGeom prst="rect">
                            <a:avLst/>
                          </a:prstGeom>
                        </pic:spPr>
                      </pic:pic>
                    </a:graphicData>
                  </a:graphic>
                </wp:inline>
              </w:drawing>
            </w:r>
          </w:p>
        </w:tc>
      </w:tr>
    </w:tbl>
    <w:p w14:paraId="6D014685">
      <w:pPr>
        <w:rPr>
          <w:color w:val="000000" w:themeColor="text1"/>
          <w14:textFill>
            <w14:solidFill>
              <w14:schemeClr w14:val="tx1"/>
            </w14:solidFill>
          </w14:textFill>
        </w:rPr>
      </w:pPr>
    </w:p>
    <w:p w14:paraId="13B003B9">
      <w:pPr>
        <w:jc w:val="center"/>
        <w:rPr>
          <w:color w:val="000000" w:themeColor="text1"/>
          <w14:textFill>
            <w14:solidFill>
              <w14:schemeClr w14:val="tx1"/>
            </w14:solidFill>
          </w14:textFill>
        </w:rPr>
      </w:pPr>
      <w:r>
        <w:rPr>
          <w:color w:val="1E293B"/>
          <w:sz w:val="22"/>
        </w:rPr>
        <w:t>Figure 4.1  PennyWise Dashboard  . . . . . . . . . . . . . . . . . . Page 18</w:t>
      </w:r>
    </w:p>
    <w:tbl>
      <w:tblPr>
        <w:tblStyle w:val="12"/>
        <w:tblW w:w="0" w:type="auto"/>
        <w:jc w:val="center"/>
        <w:tblLayout w:type="fixed"/>
        <w:tblCellMar>
          <w:top w:w="0" w:type="dxa"/>
          <w:left w:w="108" w:type="dxa"/>
          <w:bottom w:w="0" w:type="dxa"/>
          <w:right w:w="108" w:type="dxa"/>
        </w:tblCellMar>
      </w:tblPr>
      <w:tblGrid>
        <w:gridCol w:w="9360"/>
      </w:tblGrid>
      <w:tr w14:paraId="69BCA605">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1C67588E">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3"/>
                          <a:stretch>
                            <a:fillRect/>
                          </a:stretch>
                        </pic:blipFill>
                        <pic:spPr>
                          <a:xfrm>
                            <a:off x="0" y="0"/>
                            <a:ext cx="5120640" cy="3291840"/>
                          </a:xfrm>
                          <a:prstGeom prst="rect">
                            <a:avLst/>
                          </a:prstGeom>
                        </pic:spPr>
                      </pic:pic>
                    </a:graphicData>
                  </a:graphic>
                </wp:inline>
              </w:drawing>
            </w:r>
          </w:p>
        </w:tc>
      </w:tr>
    </w:tbl>
    <w:p w14:paraId="338BFC27">
      <w:pPr>
        <w:rPr>
          <w:color w:val="000000" w:themeColor="text1"/>
          <w14:textFill>
            <w14:solidFill>
              <w14:schemeClr w14:val="tx1"/>
            </w14:solidFill>
          </w14:textFill>
        </w:rPr>
      </w:pPr>
    </w:p>
    <w:p w14:paraId="14D7D4F1">
      <w:pPr>
        <w:jc w:val="center"/>
        <w:rPr>
          <w:color w:val="000000" w:themeColor="text1"/>
          <w14:textFill>
            <w14:solidFill>
              <w14:schemeClr w14:val="tx1"/>
            </w14:solidFill>
          </w14:textFill>
        </w:rPr>
      </w:pPr>
      <w:r>
        <w:rPr>
          <w:color w:val="1E293B"/>
          <w:sz w:val="22"/>
        </w:rPr>
        <w:t>Figure 4.2  Registration / Login Interface  . . . . . . . . . . . . . Page 19</w:t>
      </w:r>
    </w:p>
    <w:tbl>
      <w:tblPr>
        <w:tblStyle w:val="12"/>
        <w:tblW w:w="0" w:type="auto"/>
        <w:jc w:val="center"/>
        <w:tblLayout w:type="fixed"/>
        <w:tblCellMar>
          <w:top w:w="0" w:type="dxa"/>
          <w:left w:w="108" w:type="dxa"/>
          <w:bottom w:w="0" w:type="dxa"/>
          <w:right w:w="108" w:type="dxa"/>
        </w:tblCellMar>
      </w:tblPr>
      <w:tblGrid>
        <w:gridCol w:w="9360"/>
      </w:tblGrid>
      <w:tr w14:paraId="427B8585">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48586610">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4"/>
                          <a:stretch>
                            <a:fillRect/>
                          </a:stretch>
                        </pic:blipFill>
                        <pic:spPr>
                          <a:xfrm>
                            <a:off x="0" y="0"/>
                            <a:ext cx="5120640" cy="3291840"/>
                          </a:xfrm>
                          <a:prstGeom prst="rect">
                            <a:avLst/>
                          </a:prstGeom>
                        </pic:spPr>
                      </pic:pic>
                    </a:graphicData>
                  </a:graphic>
                </wp:inline>
              </w:drawing>
            </w:r>
          </w:p>
        </w:tc>
      </w:tr>
    </w:tbl>
    <w:p w14:paraId="0EFC5170">
      <w:pPr>
        <w:rPr>
          <w:color w:val="000000" w:themeColor="text1"/>
          <w14:textFill>
            <w14:solidFill>
              <w14:schemeClr w14:val="tx1"/>
            </w14:solidFill>
          </w14:textFill>
        </w:rPr>
      </w:pPr>
    </w:p>
    <w:p w14:paraId="5CD7F514">
      <w:pPr>
        <w:jc w:val="center"/>
        <w:rPr>
          <w:color w:val="000000" w:themeColor="text1"/>
          <w14:textFill>
            <w14:solidFill>
              <w14:schemeClr w14:val="tx1"/>
            </w14:solidFill>
          </w14:textFill>
        </w:rPr>
      </w:pPr>
      <w:r>
        <w:rPr>
          <w:color w:val="1E293B"/>
          <w:sz w:val="22"/>
        </w:rPr>
        <w:t>Figure 4.3  Expense Management Interface  . . . . . . . . . . . . . . Page 20</w:t>
      </w:r>
    </w:p>
    <w:tbl>
      <w:tblPr>
        <w:tblStyle w:val="12"/>
        <w:tblW w:w="0" w:type="auto"/>
        <w:jc w:val="center"/>
        <w:tblLayout w:type="fixed"/>
        <w:tblCellMar>
          <w:top w:w="0" w:type="dxa"/>
          <w:left w:w="108" w:type="dxa"/>
          <w:bottom w:w="0" w:type="dxa"/>
          <w:right w:w="108" w:type="dxa"/>
        </w:tblCellMar>
      </w:tblPr>
      <w:tblGrid>
        <w:gridCol w:w="9360"/>
      </w:tblGrid>
      <w:tr w14:paraId="65426971">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47077DDC">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5"/>
                          <a:stretch>
                            <a:fillRect/>
                          </a:stretch>
                        </pic:blipFill>
                        <pic:spPr>
                          <a:xfrm>
                            <a:off x="0" y="0"/>
                            <a:ext cx="5120640" cy="3291840"/>
                          </a:xfrm>
                          <a:prstGeom prst="rect">
                            <a:avLst/>
                          </a:prstGeom>
                        </pic:spPr>
                      </pic:pic>
                    </a:graphicData>
                  </a:graphic>
                </wp:inline>
              </w:drawing>
            </w:r>
          </w:p>
        </w:tc>
      </w:tr>
    </w:tbl>
    <w:p w14:paraId="383FC26D">
      <w:pPr>
        <w:rPr>
          <w:color w:val="000000" w:themeColor="text1"/>
          <w14:textFill>
            <w14:solidFill>
              <w14:schemeClr w14:val="tx1"/>
            </w14:solidFill>
          </w14:textFill>
        </w:rPr>
      </w:pPr>
    </w:p>
    <w:p w14:paraId="2D6D6922">
      <w:pPr>
        <w:jc w:val="center"/>
        <w:rPr>
          <w:color w:val="000000" w:themeColor="text1"/>
          <w14:textFill>
            <w14:solidFill>
              <w14:schemeClr w14:val="tx1"/>
            </w14:solidFill>
          </w14:textFill>
        </w:rPr>
      </w:pPr>
      <w:r>
        <w:rPr>
          <w:color w:val="1E293B"/>
          <w:sz w:val="22"/>
        </w:rPr>
        <w:t>Figure 4.4  Analytics and Mood Analysis  . . . . . . . . . . . . . . Page 21</w:t>
      </w:r>
    </w:p>
    <w:tbl>
      <w:tblPr>
        <w:tblStyle w:val="12"/>
        <w:tblW w:w="0" w:type="auto"/>
        <w:jc w:val="center"/>
        <w:tblLayout w:type="fixed"/>
        <w:tblCellMar>
          <w:top w:w="0" w:type="dxa"/>
          <w:left w:w="108" w:type="dxa"/>
          <w:bottom w:w="0" w:type="dxa"/>
          <w:right w:w="108" w:type="dxa"/>
        </w:tblCellMar>
      </w:tblPr>
      <w:tblGrid>
        <w:gridCol w:w="9360"/>
      </w:tblGrid>
      <w:tr w14:paraId="4E51FCEC">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5343FC98">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6"/>
                          <a:stretch>
                            <a:fillRect/>
                          </a:stretch>
                        </pic:blipFill>
                        <pic:spPr>
                          <a:xfrm>
                            <a:off x="0" y="0"/>
                            <a:ext cx="5120640" cy="3291840"/>
                          </a:xfrm>
                          <a:prstGeom prst="rect">
                            <a:avLst/>
                          </a:prstGeom>
                        </pic:spPr>
                      </pic:pic>
                    </a:graphicData>
                  </a:graphic>
                </wp:inline>
              </w:drawing>
            </w:r>
          </w:p>
        </w:tc>
      </w:tr>
    </w:tbl>
    <w:p w14:paraId="192C3DC0">
      <w:pPr>
        <w:rPr>
          <w:color w:val="000000" w:themeColor="text1"/>
          <w14:textFill>
            <w14:solidFill>
              <w14:schemeClr w14:val="tx1"/>
            </w14:solidFill>
          </w14:textFill>
        </w:rPr>
      </w:pPr>
    </w:p>
    <w:p w14:paraId="66755757">
      <w:pPr>
        <w:jc w:val="center"/>
        <w:rPr>
          <w:color w:val="000000" w:themeColor="text1"/>
          <w14:textFill>
            <w14:solidFill>
              <w14:schemeClr w14:val="tx1"/>
            </w14:solidFill>
          </w14:textFill>
        </w:rPr>
      </w:pPr>
      <w:r>
        <w:rPr>
          <w:color w:val="1E293B"/>
          <w:sz w:val="22"/>
        </w:rPr>
        <w:t>Figure 4.5  AI Behavior Suite  . . . . . . . . . . . . . . . . . . . Page 22</w:t>
      </w:r>
    </w:p>
    <w:tbl>
      <w:tblPr>
        <w:tblStyle w:val="12"/>
        <w:tblW w:w="0" w:type="auto"/>
        <w:jc w:val="center"/>
        <w:tblLayout w:type="fixed"/>
        <w:tblCellMar>
          <w:top w:w="0" w:type="dxa"/>
          <w:left w:w="108" w:type="dxa"/>
          <w:bottom w:w="0" w:type="dxa"/>
          <w:right w:w="108" w:type="dxa"/>
        </w:tblCellMar>
      </w:tblPr>
      <w:tblGrid>
        <w:gridCol w:w="9360"/>
      </w:tblGrid>
      <w:tr w14:paraId="4FDBBCC0">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1501763">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17"/>
                          <a:stretch>
                            <a:fillRect/>
                          </a:stretch>
                        </pic:blipFill>
                        <pic:spPr>
                          <a:xfrm>
                            <a:off x="0" y="0"/>
                            <a:ext cx="5120640" cy="3291840"/>
                          </a:xfrm>
                          <a:prstGeom prst="rect">
                            <a:avLst/>
                          </a:prstGeom>
                        </pic:spPr>
                      </pic:pic>
                    </a:graphicData>
                  </a:graphic>
                </wp:inline>
              </w:drawing>
            </w:r>
          </w:p>
        </w:tc>
      </w:tr>
    </w:tbl>
    <w:p w14:paraId="7B686DFC">
      <w:pPr>
        <w:rPr>
          <w:color w:val="000000" w:themeColor="text1"/>
          <w14:textFill>
            <w14:solidFill>
              <w14:schemeClr w14:val="tx1"/>
            </w14:solidFill>
          </w14:textFill>
        </w:rPr>
      </w:pPr>
    </w:p>
    <w:p w14:paraId="1F97A202">
      <w:pPr>
        <w:jc w:val="center"/>
        <w:rPr>
          <w:color w:val="000000" w:themeColor="text1"/>
          <w14:textFill>
            <w14:solidFill>
              <w14:schemeClr w14:val="tx1"/>
            </w14:solidFill>
          </w14:textFill>
        </w:rPr>
      </w:pPr>
      <w:r>
        <w:rPr>
          <w:color w:val="1E293B"/>
          <w:sz w:val="22"/>
        </w:rPr>
        <w:t>Figure 4.6  Should I Buy It? Advisor Result  . . . . . . . . . . . . Page 23</w:t>
      </w:r>
    </w:p>
    <w:tbl>
      <w:tblPr>
        <w:tblStyle w:val="12"/>
        <w:tblW w:w="0" w:type="auto"/>
        <w:jc w:val="center"/>
        <w:tblLayout w:type="fixed"/>
        <w:tblCellMar>
          <w:top w:w="0" w:type="dxa"/>
          <w:left w:w="108" w:type="dxa"/>
          <w:bottom w:w="0" w:type="dxa"/>
          <w:right w:w="108" w:type="dxa"/>
        </w:tblCellMar>
      </w:tblPr>
      <w:tblGrid>
        <w:gridCol w:w="9360"/>
      </w:tblGrid>
      <w:tr w14:paraId="3335FB05">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7B7C349">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18"/>
                          <a:stretch>
                            <a:fillRect/>
                          </a:stretch>
                        </pic:blipFill>
                        <pic:spPr>
                          <a:xfrm>
                            <a:off x="0" y="0"/>
                            <a:ext cx="5120640" cy="3291840"/>
                          </a:xfrm>
                          <a:prstGeom prst="rect">
                            <a:avLst/>
                          </a:prstGeom>
                        </pic:spPr>
                      </pic:pic>
                    </a:graphicData>
                  </a:graphic>
                </wp:inline>
              </w:drawing>
            </w:r>
          </w:p>
        </w:tc>
      </w:tr>
    </w:tbl>
    <w:p w14:paraId="2CC5CAE2">
      <w:pPr>
        <w:rPr>
          <w:color w:val="000000" w:themeColor="text1"/>
          <w14:textFill>
            <w14:solidFill>
              <w14:schemeClr w14:val="tx1"/>
            </w14:solidFill>
          </w14:textFill>
        </w:rPr>
      </w:pPr>
    </w:p>
    <w:p w14:paraId="61E38D12">
      <w:pPr>
        <w:jc w:val="center"/>
        <w:rPr>
          <w:color w:val="000000" w:themeColor="text1"/>
          <w14:textFill>
            <w14:solidFill>
              <w14:schemeClr w14:val="tx1"/>
            </w14:solidFill>
          </w14:textFill>
        </w:rPr>
      </w:pPr>
      <w:r>
        <w:rPr>
          <w:color w:val="1E293B"/>
          <w:sz w:val="22"/>
        </w:rPr>
        <w:t>Figure 4.7  Regret Predictor Result  . . . . . . . . . . . . . . . . Page 24</w:t>
      </w:r>
    </w:p>
    <w:tbl>
      <w:tblPr>
        <w:tblStyle w:val="12"/>
        <w:tblW w:w="0" w:type="auto"/>
        <w:jc w:val="center"/>
        <w:tblLayout w:type="fixed"/>
        <w:tblCellMar>
          <w:top w:w="0" w:type="dxa"/>
          <w:left w:w="108" w:type="dxa"/>
          <w:bottom w:w="0" w:type="dxa"/>
          <w:right w:w="108" w:type="dxa"/>
        </w:tblCellMar>
      </w:tblPr>
      <w:tblGrid>
        <w:gridCol w:w="9360"/>
      </w:tblGrid>
      <w:tr w14:paraId="47ED31A8">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36669A8">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19"/>
                          <a:stretch>
                            <a:fillRect/>
                          </a:stretch>
                        </pic:blipFill>
                        <pic:spPr>
                          <a:xfrm>
                            <a:off x="0" y="0"/>
                            <a:ext cx="5120640" cy="3291840"/>
                          </a:xfrm>
                          <a:prstGeom prst="rect">
                            <a:avLst/>
                          </a:prstGeom>
                        </pic:spPr>
                      </pic:pic>
                    </a:graphicData>
                  </a:graphic>
                </wp:inline>
              </w:drawing>
            </w:r>
          </w:p>
        </w:tc>
      </w:tr>
    </w:tbl>
    <w:p w14:paraId="72536647">
      <w:pPr>
        <w:rPr>
          <w:color w:val="000000" w:themeColor="text1"/>
          <w14:textFill>
            <w14:solidFill>
              <w14:schemeClr w14:val="tx1"/>
            </w14:solidFill>
          </w14:textFill>
        </w:rPr>
      </w:pPr>
    </w:p>
    <w:p w14:paraId="2C111B06">
      <w:pPr>
        <w:jc w:val="center"/>
        <w:rPr>
          <w:color w:val="000000" w:themeColor="text1"/>
          <w14:textFill>
            <w14:solidFill>
              <w14:schemeClr w14:val="tx1"/>
            </w14:solidFill>
          </w14:textFill>
        </w:rPr>
      </w:pPr>
      <w:r>
        <w:rPr>
          <w:color w:val="1E293B"/>
          <w:sz w:val="22"/>
        </w:rPr>
        <w:t>Figure 4.8  Dream Savings Goals  . . . . . . . . . . . . . . . . . . Page 25</w:t>
      </w:r>
    </w:p>
    <w:tbl>
      <w:tblPr>
        <w:tblStyle w:val="12"/>
        <w:tblW w:w="0" w:type="auto"/>
        <w:jc w:val="center"/>
        <w:tblLayout w:type="fixed"/>
        <w:tblCellMar>
          <w:top w:w="0" w:type="dxa"/>
          <w:left w:w="108" w:type="dxa"/>
          <w:bottom w:w="0" w:type="dxa"/>
          <w:right w:w="108" w:type="dxa"/>
        </w:tblCellMar>
      </w:tblPr>
      <w:tblGrid>
        <w:gridCol w:w="9360"/>
      </w:tblGrid>
      <w:tr w14:paraId="5C72082C">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78AC540F">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0"/>
                          <a:stretch>
                            <a:fillRect/>
                          </a:stretch>
                        </pic:blipFill>
                        <pic:spPr>
                          <a:xfrm>
                            <a:off x="0" y="0"/>
                            <a:ext cx="5120640" cy="3291840"/>
                          </a:xfrm>
                          <a:prstGeom prst="rect">
                            <a:avLst/>
                          </a:prstGeom>
                        </pic:spPr>
                      </pic:pic>
                    </a:graphicData>
                  </a:graphic>
                </wp:inline>
              </w:drawing>
            </w:r>
          </w:p>
        </w:tc>
      </w:tr>
    </w:tbl>
    <w:p w14:paraId="0CE29FF1">
      <w:pPr>
        <w:rPr>
          <w:color w:val="000000" w:themeColor="text1"/>
          <w14:textFill>
            <w14:solidFill>
              <w14:schemeClr w14:val="tx1"/>
            </w14:solidFill>
          </w14:textFill>
        </w:rPr>
      </w:pPr>
    </w:p>
    <w:p w14:paraId="5657F614">
      <w:pPr>
        <w:jc w:val="center"/>
        <w:rPr>
          <w:color w:val="000000" w:themeColor="text1"/>
          <w14:textFill>
            <w14:solidFill>
              <w14:schemeClr w14:val="tx1"/>
            </w14:solidFill>
          </w14:textFill>
        </w:rPr>
      </w:pPr>
      <w:r>
        <w:rPr>
          <w:color w:val="1E293B"/>
          <w:sz w:val="22"/>
        </w:rPr>
        <w:t>Figure 4.9  Subscription Killer  . . . . . . . . . . . . . . . . . . Page 26</w:t>
      </w:r>
    </w:p>
    <w:tbl>
      <w:tblPr>
        <w:tblStyle w:val="12"/>
        <w:tblW w:w="0" w:type="auto"/>
        <w:jc w:val="center"/>
        <w:tblLayout w:type="fixed"/>
        <w:tblCellMar>
          <w:top w:w="0" w:type="dxa"/>
          <w:left w:w="108" w:type="dxa"/>
          <w:bottom w:w="0" w:type="dxa"/>
          <w:right w:w="108" w:type="dxa"/>
        </w:tblCellMar>
      </w:tblPr>
      <w:tblGrid>
        <w:gridCol w:w="9360"/>
      </w:tblGrid>
      <w:tr w14:paraId="0E7ACC16">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50B6B41E">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1"/>
                          <a:stretch>
                            <a:fillRect/>
                          </a:stretch>
                        </pic:blipFill>
                        <pic:spPr>
                          <a:xfrm>
                            <a:off x="0" y="0"/>
                            <a:ext cx="5120640" cy="3291840"/>
                          </a:xfrm>
                          <a:prstGeom prst="rect">
                            <a:avLst/>
                          </a:prstGeom>
                        </pic:spPr>
                      </pic:pic>
                    </a:graphicData>
                  </a:graphic>
                </wp:inline>
              </w:drawing>
            </w:r>
          </w:p>
        </w:tc>
      </w:tr>
    </w:tbl>
    <w:p w14:paraId="34C8BDD8">
      <w:pPr>
        <w:rPr>
          <w:color w:val="000000" w:themeColor="text1"/>
          <w14:textFill>
            <w14:solidFill>
              <w14:schemeClr w14:val="tx1"/>
            </w14:solidFill>
          </w14:textFill>
        </w:rPr>
      </w:pPr>
    </w:p>
    <w:p w14:paraId="20E4F0CD">
      <w:pPr>
        <w:jc w:val="center"/>
        <w:rPr>
          <w:color w:val="000000" w:themeColor="text1"/>
          <w14:textFill>
            <w14:solidFill>
              <w14:schemeClr w14:val="tx1"/>
            </w14:solidFill>
          </w14:textFill>
        </w:rPr>
      </w:pPr>
      <w:r>
        <w:rPr>
          <w:color w:val="1E293B"/>
          <w:sz w:val="22"/>
        </w:rPr>
        <w:t>Figure 4.10  Money Game, XP and Badges  . . . . . . . . . . . . . . . Page 27</w:t>
      </w:r>
    </w:p>
    <w:tbl>
      <w:tblPr>
        <w:tblStyle w:val="12"/>
        <w:tblW w:w="0" w:type="auto"/>
        <w:jc w:val="center"/>
        <w:tblLayout w:type="fixed"/>
        <w:tblCellMar>
          <w:top w:w="0" w:type="dxa"/>
          <w:left w:w="108" w:type="dxa"/>
          <w:bottom w:w="0" w:type="dxa"/>
          <w:right w:w="108" w:type="dxa"/>
        </w:tblCellMar>
      </w:tblPr>
      <w:tblGrid>
        <w:gridCol w:w="9360"/>
      </w:tblGrid>
      <w:tr w14:paraId="60B45B76">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07A815AB">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22"/>
                          <a:stretch>
                            <a:fillRect/>
                          </a:stretch>
                        </pic:blipFill>
                        <pic:spPr>
                          <a:xfrm>
                            <a:off x="0" y="0"/>
                            <a:ext cx="5120640" cy="3291840"/>
                          </a:xfrm>
                          <a:prstGeom prst="rect">
                            <a:avLst/>
                          </a:prstGeom>
                        </pic:spPr>
                      </pic:pic>
                    </a:graphicData>
                  </a:graphic>
                </wp:inline>
              </w:drawing>
            </w:r>
          </w:p>
        </w:tc>
      </w:tr>
    </w:tbl>
    <w:p w14:paraId="649A7C41">
      <w:pPr>
        <w:rPr>
          <w:color w:val="000000" w:themeColor="text1"/>
          <w14:textFill>
            <w14:solidFill>
              <w14:schemeClr w14:val="tx1"/>
            </w14:solidFill>
          </w14:textFill>
        </w:rPr>
      </w:pPr>
    </w:p>
    <w:p w14:paraId="7881630C">
      <w:pPr>
        <w:jc w:val="center"/>
        <w:rPr>
          <w:color w:val="000000" w:themeColor="text1"/>
          <w14:textFill>
            <w14:solidFill>
              <w14:schemeClr w14:val="tx1"/>
            </w14:solidFill>
          </w14:textFill>
        </w:rPr>
      </w:pPr>
      <w:r>
        <w:rPr>
          <w:color w:val="1E293B"/>
          <w:sz w:val="22"/>
        </w:rPr>
        <w:t>Figure 4.11  No-Spend Calendar  . . . . . . . . . . . . . . . . . . . Page 28</w:t>
      </w:r>
    </w:p>
    <w:tbl>
      <w:tblPr>
        <w:tblStyle w:val="12"/>
        <w:tblW w:w="0" w:type="auto"/>
        <w:jc w:val="center"/>
        <w:tblLayout w:type="fixed"/>
        <w:tblCellMar>
          <w:top w:w="0" w:type="dxa"/>
          <w:left w:w="108" w:type="dxa"/>
          <w:bottom w:w="0" w:type="dxa"/>
          <w:right w:w="108" w:type="dxa"/>
        </w:tblCellMar>
      </w:tblPr>
      <w:tblGrid>
        <w:gridCol w:w="9360"/>
      </w:tblGrid>
      <w:tr w14:paraId="32EC9BD2">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2249BFE9">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23"/>
                          <a:stretch>
                            <a:fillRect/>
                          </a:stretch>
                        </pic:blipFill>
                        <pic:spPr>
                          <a:xfrm>
                            <a:off x="0" y="0"/>
                            <a:ext cx="5120640" cy="3291840"/>
                          </a:xfrm>
                          <a:prstGeom prst="rect">
                            <a:avLst/>
                          </a:prstGeom>
                        </pic:spPr>
                      </pic:pic>
                    </a:graphicData>
                  </a:graphic>
                </wp:inline>
              </w:drawing>
            </w:r>
          </w:p>
        </w:tc>
      </w:tr>
    </w:tbl>
    <w:p w14:paraId="3071C7DF">
      <w:pPr>
        <w:rPr>
          <w:color w:val="000000" w:themeColor="text1"/>
          <w14:textFill>
            <w14:solidFill>
              <w14:schemeClr w14:val="tx1"/>
            </w14:solidFill>
          </w14:textFill>
        </w:rPr>
      </w:pPr>
    </w:p>
    <w:p w14:paraId="1CDDB830">
      <w:pPr>
        <w:jc w:val="center"/>
        <w:rPr>
          <w:color w:val="000000" w:themeColor="text1"/>
          <w14:textFill>
            <w14:solidFill>
              <w14:schemeClr w14:val="tx1"/>
            </w14:solidFill>
          </w14:textFill>
        </w:rPr>
      </w:pPr>
      <w:r>
        <w:rPr>
          <w:color w:val="1E293B"/>
          <w:sz w:val="22"/>
        </w:rPr>
        <w:t>Figure 4.12  Monthly Report / PDF  . . . . . . . . . . . . . . . . . Page 29</w:t>
      </w:r>
    </w:p>
    <w:tbl>
      <w:tblPr>
        <w:tblStyle w:val="12"/>
        <w:tblW w:w="0" w:type="auto"/>
        <w:jc w:val="center"/>
        <w:tblLayout w:type="fixed"/>
        <w:tblCellMar>
          <w:top w:w="0" w:type="dxa"/>
          <w:left w:w="108" w:type="dxa"/>
          <w:bottom w:w="0" w:type="dxa"/>
          <w:right w:w="108" w:type="dxa"/>
        </w:tblCellMar>
      </w:tblPr>
      <w:tblGrid>
        <w:gridCol w:w="9360"/>
      </w:tblGrid>
      <w:tr w14:paraId="2D005627">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569D2E84">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24"/>
                          <a:stretch>
                            <a:fillRect/>
                          </a:stretch>
                        </pic:blipFill>
                        <pic:spPr>
                          <a:xfrm>
                            <a:off x="0" y="0"/>
                            <a:ext cx="5120640" cy="3291840"/>
                          </a:xfrm>
                          <a:prstGeom prst="rect">
                            <a:avLst/>
                          </a:prstGeom>
                        </pic:spPr>
                      </pic:pic>
                    </a:graphicData>
                  </a:graphic>
                </wp:inline>
              </w:drawing>
            </w:r>
          </w:p>
        </w:tc>
      </w:tr>
    </w:tbl>
    <w:p w14:paraId="49D966D9">
      <w:pPr>
        <w:rPr>
          <w:color w:val="000000" w:themeColor="text1"/>
          <w14:textFill>
            <w14:solidFill>
              <w14:schemeClr w14:val="tx1"/>
            </w14:solidFill>
          </w14:textFill>
        </w:rPr>
      </w:pPr>
    </w:p>
    <w:p w14:paraId="320BAC46">
      <w:pPr>
        <w:jc w:val="center"/>
        <w:rPr>
          <w:color w:val="000000" w:themeColor="text1"/>
          <w14:textFill>
            <w14:solidFill>
              <w14:schemeClr w14:val="tx1"/>
            </w14:solidFill>
          </w14:textFill>
        </w:rPr>
      </w:pPr>
      <w:r>
        <w:rPr>
          <w:color w:val="1E293B"/>
          <w:sz w:val="22"/>
        </w:rPr>
        <w:t>Figure 4.13  Profile and Deduction Management  . . . . . . . . . . . Page 30</w:t>
      </w:r>
    </w:p>
    <w:tbl>
      <w:tblPr>
        <w:tblStyle w:val="12"/>
        <w:tblW w:w="0" w:type="auto"/>
        <w:jc w:val="center"/>
        <w:tblLayout w:type="fixed"/>
        <w:tblCellMar>
          <w:top w:w="0" w:type="dxa"/>
          <w:left w:w="108" w:type="dxa"/>
          <w:bottom w:w="0" w:type="dxa"/>
          <w:right w:w="108" w:type="dxa"/>
        </w:tblCellMar>
      </w:tblPr>
      <w:tblGrid>
        <w:gridCol w:w="9360"/>
      </w:tblGrid>
      <w:tr w14:paraId="03D08B68">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3DB29029">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25"/>
                          <a:stretch>
                            <a:fillRect/>
                          </a:stretch>
                        </pic:blipFill>
                        <pic:spPr>
                          <a:xfrm>
                            <a:off x="0" y="0"/>
                            <a:ext cx="5120640" cy="3291840"/>
                          </a:xfrm>
                          <a:prstGeom prst="rect">
                            <a:avLst/>
                          </a:prstGeom>
                        </pic:spPr>
                      </pic:pic>
                    </a:graphicData>
                  </a:graphic>
                </wp:inline>
              </w:drawing>
            </w:r>
          </w:p>
        </w:tc>
      </w:tr>
    </w:tbl>
    <w:p w14:paraId="12FA44CB">
      <w:pPr>
        <w:rPr>
          <w:color w:val="000000" w:themeColor="text1"/>
          <w14:textFill>
            <w14:solidFill>
              <w14:schemeClr w14:val="tx1"/>
            </w14:solidFill>
          </w14:textFill>
        </w:rPr>
      </w:pPr>
    </w:p>
    <w:p w14:paraId="3A8F5265">
      <w:pPr>
        <w:jc w:val="center"/>
        <w:rPr>
          <w:color w:val="000000" w:themeColor="text1"/>
          <w14:textFill>
            <w14:solidFill>
              <w14:schemeClr w14:val="tx1"/>
            </w14:solidFill>
          </w14:textFill>
        </w:rPr>
      </w:pPr>
      <w:r>
        <w:rPr>
          <w:color w:val="1E293B"/>
          <w:sz w:val="22"/>
        </w:rPr>
        <w:t>Figure 4.14  Future Savings / Opportunity Cost Tools  . . . . . . . . Page 31</w:t>
      </w:r>
    </w:p>
    <w:p w14:paraId="5B76011C">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4.4 Quality Assurance</w:t>
      </w:r>
    </w:p>
    <w:p w14:paraId="4868B29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Quality assurance in PennyWise is supported through modular route separation, authentication middleware, input handling, database constraints, automated tests and deployment configuration. The codebase also contains a migration utility and a PostgreSQL schema to reduce the risk of losing local financial data during production migration.</w:t>
      </w:r>
    </w:p>
    <w:p w14:paraId="46D1B5E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Before final submission, complete the following QA checks: ✓ JWT Auth Isolation Passed | ✓ Neon PostgreSQL Persistence Passed | ✓ 27/27 Unit Tests Passed | ✓ Vercel HTTPS Deployment Passed.</w:t>
      </w:r>
    </w:p>
    <w:p w14:paraId="66F2F9EB">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4C52A127">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5</w:t>
      </w:r>
    </w:p>
    <w:p w14:paraId="56B8085E">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Standard Adopted</w:t>
      </w:r>
    </w:p>
    <w:p w14:paraId="26B0A1BE">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5.1 Design Standards</w:t>
      </w:r>
    </w:p>
    <w:p w14:paraId="5A60E5E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Modular separation of frontend, route handlers and database access.</w:t>
      </w:r>
    </w:p>
    <w:p w14:paraId="51C33F1B">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Consistent REST endpoint naming under /api.</w:t>
      </w:r>
    </w:p>
    <w:p w14:paraId="12EBB11B">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Responsive card-based interface with reusable CSS classes.</w:t>
      </w:r>
    </w:p>
    <w:p w14:paraId="183D6465">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Consistent authentication middleware for protected resources.</w:t>
      </w:r>
    </w:p>
    <w:p w14:paraId="7E9C708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Relational foreign keys using user_id for user-owned data.</w:t>
      </w:r>
    </w:p>
    <w:p w14:paraId="343B09B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 of environment variables for secrets and deployment configuration.</w:t>
      </w:r>
    </w:p>
    <w:p w14:paraId="315906E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 of clear status messages and JSON responses for API operations.</w:t>
      </w:r>
    </w:p>
    <w:p w14:paraId="368F6A9E">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5.2 Coding Standards</w:t>
      </w:r>
    </w:p>
    <w:p w14:paraId="655C69B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JavaScript functions use descriptive names such as loadDashboardData, runRegretPredictor and addDreamGoal.</w:t>
      </w:r>
    </w:p>
    <w:p w14:paraId="4C63D9DB">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Database parameters are passed separately from SQL strings through the query wrapper.</w:t>
      </w:r>
    </w:p>
    <w:p w14:paraId="0F3BB02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Route modules are grouped by functional responsibility.</w:t>
      </w:r>
    </w:p>
    <w:p w14:paraId="51E83261">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Error handling uses try/catch blocks in asynchronous route handlers.</w:t>
      </w:r>
    </w:p>
    <w:p w14:paraId="55F52AD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Configuration secrets are excluded through .gitignore and represented through .env.example.</w:t>
      </w:r>
    </w:p>
    <w:p w14:paraId="49C1F8EC">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Comments are used to identify major API modules and business-logic sections.</w:t>
      </w:r>
    </w:p>
    <w:p w14:paraId="7C0EE591">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5.3 Testing Standards</w:t>
      </w:r>
    </w:p>
    <w:p w14:paraId="3FB729C1">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Authentication tests verify protected access and account cleanup.</w:t>
      </w:r>
    </w:p>
    <w:p w14:paraId="63D1BB3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CRUD tests verify that records can be created, retrieved, modified and deleted.</w:t>
      </w:r>
    </w:p>
    <w:p w14:paraId="5914218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AI tests verify response structure and core outputs.</w:t>
      </w:r>
    </w:p>
    <w:p w14:paraId="2AE2E99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Integration tests verify multi-step workflows across modules.</w:t>
      </w:r>
    </w:p>
    <w:p w14:paraId="0143A775">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Browser tests verify important frontend navigation and interaction paths.</w:t>
      </w:r>
    </w:p>
    <w:p w14:paraId="3ECC458E">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Final deployment testing should include persistent database behavior and user isolation.</w:t>
      </w:r>
    </w:p>
    <w:p w14:paraId="4B4E1219">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E1D8B0A">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6</w:t>
      </w:r>
    </w:p>
    <w:p w14:paraId="6E22E034">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Conclusion and Future Scope</w:t>
      </w:r>
    </w:p>
    <w:p w14:paraId="47A185F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6.1 Conclusion</w:t>
      </w:r>
    </w:p>
    <w:p w14:paraId="3C40F414">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brings together personal finance tracking, behavioral decision support and gamification in a single full-stack web application. The current project contains a broad relational data model, JWT-protected APIs, a dynamic browser interface, AI-style behavioral calculations, Dream Savings Goals, subscription analysis, gamification and PDF reporting.</w:t>
      </w:r>
    </w:p>
    <w:p w14:paraId="3996A64E">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 key strength of the project is that several behavioral features are transparent and explainable. For example, the Regret Predictor exposes its contributing risk components, while the financial health score is calculated from identifiable financial and behavioral indicators. This makes the system easier to understand than a completely opaque recommendation mechanism.</w:t>
      </w:r>
    </w:p>
    <w:p w14:paraId="1C73665E">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production architecture is designed to move persistent data from local SQLite storage to PostgreSQL/Neon and deploy the application through Vercel. The final deployment status, production URL, migration verification and end-to-end acceptance results should be inserted after those steps are completed.</w:t>
      </w:r>
    </w:p>
    <w:p w14:paraId="158BBBC9">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6.2 Future Scope</w:t>
      </w:r>
    </w:p>
    <w:p w14:paraId="7B827CB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Complete and verify the Vercel + Neon production deployment and automated deployment pipeline.</w:t>
      </w:r>
    </w:p>
    <w:p w14:paraId="7DDB66F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Introduce a dedicated serverless-safe database access pattern and optimize connection pooling for high concurrency.</w:t>
      </w:r>
    </w:p>
    <w:p w14:paraId="6A1BB49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Replace selected rule-based components with trained machine-learning models after collecting sufficient user-consented data.</w:t>
      </w:r>
    </w:p>
    <w:p w14:paraId="54C39C6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stronger personalized learning to the Regret Predictor using historical purchase feedback.</w:t>
      </w:r>
    </w:p>
    <w:p w14:paraId="59EB512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Expand receipt OCR and price-watch functionality if these modules are retained in the final product scope.</w:t>
      </w:r>
    </w:p>
    <w:p w14:paraId="146FC70E">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more advanced spending forecasts and anomaly detection.</w:t>
      </w:r>
    </w:p>
    <w:p w14:paraId="00D46DF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Introduce mobile/PWA support.</w:t>
      </w:r>
    </w:p>
    <w:p w14:paraId="48E48E5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stronger privacy controls, data export and consent management.</w:t>
      </w:r>
    </w:p>
    <w:p w14:paraId="4B699DDE">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more detailed admin analytics if an administrative role is required.</w:t>
      </w:r>
    </w:p>
    <w:p w14:paraId="71E9659E">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Improve test coverage for production database migration and multi-user isolation.</w:t>
      </w:r>
    </w:p>
    <w:p w14:paraId="10E58C99">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FBD53F8">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References</w:t>
      </w:r>
    </w:p>
    <w:p w14:paraId="323F48A9">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 Node.js Documentation — https://nodejs.org/docs/latest (Accessed: August 2026).</w:t>
      </w:r>
    </w:p>
    <w:p w14:paraId="1CD560A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[2] Express.js Documentation — https://expressjs.com (Accessed: August 2026).</w:t>
      </w:r>
    </w:p>
    <w:p w14:paraId="728B88AF">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[3] PostgreSQL Documentation — https://www.postgresql.org/docs/ (Accessed: August 2026).</w:t>
      </w:r>
    </w:p>
    <w:p w14:paraId="1688371F">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[4] Neon PostgreSQL Documentation — https://neon.tech/docs (Accessed: August 2026).</w:t>
      </w:r>
    </w:p>
    <w:p w14:paraId="042F0616">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[5] Vercel Documentation — https://vercel.com/docs (Accessed: August 2026).</w:t>
      </w:r>
    </w:p>
    <w:p w14:paraId="16B326EC">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[6] IETF RFC 7519 — JSON Web Token (JWT) Specification (2015).</w:t>
      </w:r>
    </w:p>
    <w:p w14:paraId="4250CE0D">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[7] Chart.js Data Visualization Library — https://www.chartjs.org (Accessed: August 2026).</w:t>
      </w:r>
    </w:p>
    <w:p w14:paraId="1A6F6BBB">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[8] PDFKit JavaScript PDF Generation Library — https://pdfkit.org (Accessed: August 2026).</w:t>
      </w:r>
    </w:p>
    <w:p w14:paraId="28392A6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[9] bcrypt Password-Hashing Algorithm Documentation (Accessed: August 2026).</w:t>
      </w:r>
    </w:p>
    <w:p w14:paraId="351E8E9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[10] Behavioral Economics in Personal Financial Decision Support (IEEE &amp; ACM Literature Survey, 2024).</w:t>
      </w:r>
    </w:p>
    <w:p w14:paraId="02007B7C">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Note: The reference list is intentionally left partly as placeholders because the supplied project files do not contain a finalized academic reference list. Replace these entries with the exact sources actually consulted.</w:t>
      </w:r>
    </w:p>
    <w:p w14:paraId="1584397F">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50C6E9F">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Final Submission Checklist</w:t>
      </w:r>
    </w:p>
    <w:p w14:paraId="67FA4F49">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This checklist is included for final editing and should be removed if the department does not require it.</w:t>
      </w:r>
    </w:p>
    <w:p w14:paraId="60D27AE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Replace Sneha and 2105152004.</w:t>
      </w:r>
    </w:p>
    <w:p w14:paraId="046DD7D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supervisor/guide information only if the department requires it; otherwise keep the individual-project wording.</w:t>
      </w:r>
    </w:p>
    <w:p w14:paraId="2620343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Insert final system architecture, use case, ER and data-flow diagrams.</w:t>
      </w:r>
    </w:p>
    <w:p w14:paraId="5E3B6B8B">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Insert screenshots from the final deployed PennyWise application in the marked spaces.</w:t>
      </w:r>
    </w:p>
    <w:p w14:paraId="275E0DF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Insert the final GitHub repository and Vercel URL.</w:t>
      </w:r>
    </w:p>
    <w:p w14:paraId="6233176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Confirm Neon PostgreSQL migration and record final deployment verification results.</w:t>
      </w:r>
    </w:p>
    <w:p w14:paraId="1B709151">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Run the complete automated test suite against the final code.</w:t>
      </w:r>
    </w:p>
    <w:p w14:paraId="459EF0E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Perform manual tests for authentication, expenses, Dream Goals, subscriptions, reports, AI features and user isolation.</w:t>
      </w:r>
    </w:p>
    <w:p w14:paraId="6CBF71F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Update the Contents and List of Figures page numbers in Word.</w:t>
      </w:r>
    </w:p>
    <w:p w14:paraId="47C0A92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the exact references actually used.</w:t>
      </w:r>
    </w:p>
    <w:p w14:paraId="1E54B29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Do not add a group contribution section or plagiarism report, as requested.</w:t>
      </w:r>
    </w:p>
    <w:sectPr>
      <w:headerReference r:id="rId5" w:type="default"/>
      <w:footerReference r:id="rId6" w:type="default"/>
      <w:pgSz w:w="12240" w:h="15840"/>
      <w:pgMar w:top="1080" w:right="1440" w:bottom="108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F031F">
    <w:pPr>
      <w:pStyle w:val="18"/>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D06E8">
    <w:pPr>
      <w:pStyle w:val="19"/>
      <w:jc w:val="center"/>
    </w:pPr>
    <w:r>
      <w:rPr>
        <w:rFonts w:ascii="Times New Roman" w:hAnsi="Times New Roman"/>
        <w:i/>
        <w:sz w:val="18"/>
      </w:rPr>
      <w:t>PENNYWISE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D644E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numbering" Target="numbering.xml"/><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193</Words>
  <Characters>1108</Characters>
  <Lines>0</Lines>
  <Paragraphs>0</Paragraphs>
  <TotalTime>2</TotalTime>
  <ScaleCrop>false</ScaleCrop>
  <LinksUpToDate>false</LinksUpToDate>
  <CharactersWithSpaces>1270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Sneha Sinha</cp:lastModifiedBy>
  <dcterms:modified xsi:type="dcterms:W3CDTF">2026-08-13T05:00:14Z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eyJoZGlkIjoiNzU1MDBlNTZkYjE0YmU2NGEwNmVlMzc5MmQ3YTY2YjgiLCJ1c2VySWQiOiI1Njc0MTYxOTAzNzAifQ==</vt:lpwstr>
  </property>
  <property fmtid="{D5CDD505-2E9C-101B-9397-08002B2CF9AE}" pid="3" name="KSOProductBuildVer">
    <vt:lpwstr>1033-12.1.0.28032</vt:lpwstr>
  </property>
  <property fmtid="{D5CDD505-2E9C-101B-9397-08002B2CF9AE}" pid="4" name="ICV">
    <vt:lpwstr>D44D5BE8E9DA4E7BB64136C8029DF74B_12</vt:lpwstr>
  </property>
</Properties>
</file>