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Times New Roman" w:hAnsi="Times New Roman"/>
          <w:b/>
          <w:sz w:val="40"/>
        </w:rPr>
        <w:t>A PROJECT REPORT</w:t>
      </w:r>
    </w:p>
    <w:p>
      <w:pPr>
        <w:jc w:val="center"/>
      </w:pPr>
      <w:r>
        <w:rPr>
          <w:rFonts w:ascii="Times New Roman" w:hAnsi="Times New Roman"/>
          <w:sz w:val="28"/>
        </w:rPr>
        <w:t>on</w:t>
      </w:r>
    </w:p>
    <w:p>
      <w:pPr>
        <w:jc w:val="center"/>
      </w:pPr>
      <w:r>
        <w:rPr>
          <w:rFonts w:ascii="Times New Roman" w:hAnsi="Times New Roman"/>
          <w:b/>
          <w:sz w:val="40"/>
        </w:rPr>
        <w:t>PennyWise: AI-Powered Personal Finance &amp; Behavioral Economics Platform</w:t>
      </w:r>
    </w:p>
    <w:p>
      <w:pPr>
        <w:jc w:val="center"/>
      </w:pPr>
      <w:r>
        <w:rPr>
          <w:rFonts w:ascii="Times New Roman" w:hAnsi="Times New Roman"/>
          <w:sz w:val="26"/>
        </w:rPr>
        <w:br/>
        <w:t>Submitted to</w:t>
        <w:br/>
      </w:r>
      <w:r>
        <w:rPr>
          <w:rFonts w:ascii="Times New Roman" w:hAnsi="Times New Roman"/>
          <w:b/>
          <w:sz w:val="26"/>
        </w:rPr>
        <w:t>KIIT Deemed to be University</w:t>
        <w:br/>
      </w:r>
      <w:r>
        <w:rPr>
          <w:rFonts w:ascii="Times New Roman" w:hAnsi="Times New Roman"/>
          <w:sz w:val="26"/>
        </w:rPr>
        <w:t>In Partial Fulfillment of the Requirement for the Award of</w:t>
        <w:br/>
      </w:r>
      <w:r>
        <w:rPr>
          <w:rFonts w:ascii="Times New Roman" w:hAnsi="Times New Roman"/>
          <w:b/>
          <w:sz w:val="26"/>
        </w:rPr>
        <w:t>BACHELOR'S DEGREE IN</w:t>
        <w:br/>
      </w:r>
      <w:r>
        <w:rPr>
          <w:rFonts w:ascii="Times New Roman" w:hAnsi="Times New Roman"/>
          <w:b/>
          <w:sz w:val="26"/>
        </w:rPr>
        <w:t>COMPUTER SCIENCE AND ENGINEERING</w:t>
      </w:r>
    </w:p>
    <w:p>
      <w:pPr>
        <w:spacing w:before="500"/>
        <w:jc w:val="center"/>
      </w:pPr>
      <w:r>
        <w:rPr>
          <w:rFonts w:ascii="Times New Roman" w:hAnsi="Times New Roman"/>
          <w:b/>
          <w:sz w:val="26"/>
        </w:rPr>
        <w:t>BY</w:t>
      </w:r>
    </w:p>
    <w:p>
      <w:pPr>
        <w:jc w:val="center"/>
      </w:pPr>
      <w:r>
        <w:rPr>
          <w:rFonts w:ascii="Times New Roman" w:hAnsi="Times New Roman"/>
          <w:b/>
          <w:sz w:val="26"/>
        </w:rPr>
        <w:t>Sneha</w:t>
        <w:br/>
        <w:t>2105152004</w:t>
      </w:r>
    </w:p>
    <w:p>
      <w:pPr>
        <w:spacing w:before="400"/>
        <w:jc w:val="center"/>
      </w:pPr>
      <w:r>
        <w:rPr>
          <w:rFonts w:ascii="Times New Roman" w:hAnsi="Times New Roman"/>
          <w:b/>
          <w:sz w:val="28"/>
        </w:rPr>
        <w:t>INDIVIDUAL PROJECT</w:t>
      </w:r>
    </w:p>
    <w:p>
      <w:pPr>
        <w:jc w:val="center"/>
      </w:pPr>
      <w:r>
        <w:rPr>
          <w:rFonts w:ascii="Times New Roman" w:hAnsi="Times New Roman"/>
          <w:sz w:val="24"/>
        </w:rPr>
        <w:br/>
        <w:t>School of Computer Engineering</w:t>
        <w:br/>
        <w:t>KIIT Deemed to be University</w:t>
        <w:br/>
        <w:t>Bhubaneswar, Odisha - 751024</w:t>
        <w:br/>
        <w:t>August 2026</w:t>
      </w:r>
    </w:p>
    <w:p>
      <w:r>
        <w:br w:type="page"/>
      </w:r>
    </w:p>
    <w:p>
      <w:pPr>
        <w:jc w:val="center"/>
      </w:pPr>
      <w:r>
        <w:rPr>
          <w:rFonts w:ascii="Times New Roman" w:hAnsi="Times New Roman"/>
          <w:b/>
          <w:sz w:val="32"/>
        </w:rPr>
        <w:t>CERTIFICATE</w:t>
      </w:r>
    </w:p>
    <w:p>
      <w:pPr>
        <w:spacing w:line="276" w:lineRule="auto" w:after="120"/>
        <w:ind w:firstLine="360"/>
      </w:pPr>
      <w:r>
        <w:rPr>
          <w:rFonts w:ascii="Times New Roman" w:hAnsi="Times New Roman"/>
          <w:sz w:val="24"/>
        </w:rPr>
        <w:t>This is to certify that the project entitled "PennyWise: AI-Powered Personal Finance &amp; Behavioral Economics Platform" is submitted by Sneha, 2105152004, in partial fulfillment of the requirements for the award of the Bachelor's Degree in Computer Science and Engineering at KIIT Deemed to be University.</w:t>
      </w:r>
    </w:p>
    <w:p>
      <w:pPr>
        <w:spacing w:line="276" w:lineRule="auto" w:after="120"/>
        <w:ind w:firstLine="360"/>
      </w:pPr>
      <w:r>
        <w:rPr>
          <w:rFonts w:ascii="Times New Roman" w:hAnsi="Times New Roman"/>
          <w:sz w:val="24"/>
        </w:rPr>
        <w:t>The project is an individual work developed by the student. No group contribution is applicable.</w:t>
      </w:r>
    </w:p>
    <w:p>
      <w:pPr>
        <w:spacing w:line="276" w:lineRule="auto" w:after="120"/>
        <w:ind w:firstLine="360"/>
      </w:pPr>
      <w:r>
        <w:rPr>
          <w:rFonts w:ascii="Times New Roman" w:hAnsi="Times New Roman"/>
          <w:sz w:val="24"/>
        </w:rPr>
        <w:t>The project guide / supervisor information is intentionally left as a placeholder because the submitted materials do not specify a supervisor.</w:t>
      </w:r>
    </w:p>
    <w:p>
      <w:pPr>
        <w:spacing w:before="70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jc w:val="center"/>
            </w:pPr>
            <w:r>
              <w:rPr>
                <w:rFonts w:ascii="Times New Roman" w:hAnsi="Times New Roman"/>
                <w:b/>
                <w:sz w:val="21"/>
              </w:rPr>
              <w:t>Role</w:t>
            </w:r>
          </w:p>
        </w:tc>
        <w:tc>
          <w:tcPr>
            <w:tcW w:type="dxa" w:w="3120"/>
            <w:shd w:fill="D9E2F3"/>
          </w:tcPr>
          <w:p>
            <w:pPr>
              <w:jc w:val="center"/>
            </w:pPr>
            <w:r>
              <w:rPr>
                <w:rFonts w:ascii="Times New Roman" w:hAnsi="Times New Roman"/>
                <w:b/>
                <w:sz w:val="21"/>
              </w:rPr>
              <w:t>Name / Signature</w:t>
            </w:r>
          </w:p>
        </w:tc>
        <w:tc>
          <w:tcPr>
            <w:tcW w:type="dxa" w:w="3120"/>
            <w:shd w:fill="D9E2F3"/>
          </w:tcPr>
          <w:p>
            <w:pPr>
              <w:jc w:val="center"/>
            </w:pPr>
            <w:r>
              <w:rPr>
                <w:rFonts w:ascii="Times New Roman" w:hAnsi="Times New Roman"/>
                <w:b/>
                <w:sz w:val="21"/>
              </w:rPr>
              <w:t>Date</w:t>
            </w:r>
          </w:p>
        </w:tc>
      </w:tr>
      <w:tr>
        <w:tc>
          <w:tcPr>
            <w:tcW w:type="dxa" w:w="3120"/>
          </w:tcPr>
          <w:p>
            <w:pPr>
              <w:jc w:val="left"/>
            </w:pPr>
            <w:r>
              <w:rPr>
                <w:rFonts w:ascii="Times New Roman" w:hAnsi="Times New Roman"/>
                <w:sz w:val="20"/>
              </w:rPr>
              <w:t>Project Guide / Supervisor</w:t>
            </w:r>
          </w:p>
        </w:tc>
        <w:tc>
          <w:tcPr>
            <w:tcW w:type="dxa" w:w="3120"/>
          </w:tcPr>
          <w:p>
            <w:pPr>
              <w:jc w:val="left"/>
            </w:pPr>
            <w:r>
              <w:rPr>
                <w:rFonts w:ascii="Times New Roman" w:hAnsi="Times New Roman"/>
                <w:sz w:val="20"/>
              </w:rPr>
              <w:t>Faculty Project Supervisor</w:t>
            </w:r>
          </w:p>
        </w:tc>
        <w:tc>
          <w:tcPr>
            <w:tcW w:type="dxa" w:w="3120"/>
          </w:tcPr>
          <w:p>
            <w:pPr>
              <w:jc w:val="left"/>
            </w:pPr>
            <w:r>
              <w:rPr>
                <w:rFonts w:ascii="Times New Roman" w:hAnsi="Times New Roman"/>
                <w:sz w:val="20"/>
              </w:rPr>
              <w:t>August 13, 2026</w:t>
            </w:r>
          </w:p>
        </w:tc>
      </w:tr>
      <w:tr>
        <w:tc>
          <w:tcPr>
            <w:tcW w:type="dxa" w:w="3120"/>
          </w:tcPr>
          <w:p>
            <w:pPr>
              <w:jc w:val="left"/>
            </w:pPr>
            <w:r>
              <w:rPr>
                <w:rFonts w:ascii="Times New Roman" w:hAnsi="Times New Roman"/>
                <w:sz w:val="20"/>
              </w:rPr>
              <w:t>Student</w:t>
            </w:r>
          </w:p>
        </w:tc>
        <w:tc>
          <w:tcPr>
            <w:tcW w:type="dxa" w:w="3120"/>
          </w:tcPr>
          <w:p>
            <w:pPr>
              <w:jc w:val="left"/>
            </w:pPr>
            <w:r>
              <w:rPr>
                <w:rFonts w:ascii="Times New Roman" w:hAnsi="Times New Roman"/>
                <w:sz w:val="20"/>
              </w:rPr>
              <w:t>Sneha</w:t>
            </w:r>
          </w:p>
        </w:tc>
        <w:tc>
          <w:tcPr>
            <w:tcW w:type="dxa" w:w="3120"/>
          </w:tcPr>
          <w:p>
            <w:pPr>
              <w:jc w:val="left"/>
            </w:pPr>
            <w:r>
              <w:rPr>
                <w:rFonts w:ascii="Times New Roman" w:hAnsi="Times New Roman"/>
                <w:sz w:val="20"/>
              </w:rPr>
              <w:t>August 13, 2026</w:t>
            </w:r>
          </w:p>
        </w:tc>
      </w:tr>
    </w:tbl>
    <w:p/>
    <w:p>
      <w:r>
        <w:br w:type="page"/>
      </w:r>
    </w:p>
    <w:p>
      <w:pPr>
        <w:pStyle w:val="Heading1"/>
        <w:spacing w:before="160" w:after="160"/>
        <w:jc w:val="left"/>
      </w:pPr>
      <w:r>
        <w:rPr>
          <w:rFonts w:ascii="Times New Roman" w:hAnsi="Times New Roman"/>
          <w:b/>
        </w:rPr>
        <w:t>Acknowledgement</w:t>
      </w:r>
    </w:p>
    <w:p>
      <w:pPr>
        <w:spacing w:line="276" w:lineRule="auto" w:after="120"/>
        <w:ind w:firstLine="360"/>
      </w:pPr>
      <w:r>
        <w:rPr>
          <w:rFonts w:ascii="Times New Roman" w:hAnsi="Times New Roman"/>
          <w:sz w:val="24"/>
        </w:rPr>
        <w:t>I would like to express my sincere gratitude to KIIT Deemed to be University and the School of Computer Engineering for providing the academic environment and facilities required for the development of this project.</w:t>
      </w:r>
    </w:p>
    <w:p>
      <w:pPr>
        <w:spacing w:line="276" w:lineRule="auto" w:after="120"/>
        <w:ind w:firstLine="360"/>
      </w:pPr>
      <w:r>
        <w:rPr>
          <w:rFonts w:ascii="Times New Roman" w:hAnsi="Times New Roman"/>
          <w:sz w:val="24"/>
        </w:rPr>
        <w:t>I also acknowledge the technical documentation, open-source software libraries, and development tools that supported the implementation of PennyWise. The project was developed individually; therefore, no team contribution or external project supervisor is being claimed in this report.</w:t>
      </w:r>
    </w:p>
    <w:p>
      <w:pPr>
        <w:spacing w:line="276" w:lineRule="auto" w:after="120"/>
        <w:ind w:firstLine="360"/>
      </w:pPr>
      <w:r>
        <w:rPr>
          <w:rFonts w:ascii="Times New Roman" w:hAnsi="Times New Roman"/>
          <w:sz w:val="24"/>
        </w:rPr>
        <w:t>Any remaining institutional, faculty, or supervisor acknowledgement can be added here if required by the department: Special thanks to the KIIT School of Computer Engineering faculty and advisors for their mentorship..</w:t>
      </w:r>
    </w:p>
    <w:p>
      <w:r>
        <w:br w:type="page"/>
      </w:r>
    </w:p>
    <w:p>
      <w:pPr>
        <w:pStyle w:val="Heading1"/>
        <w:spacing w:before="160" w:after="160"/>
        <w:jc w:val="left"/>
      </w:pPr>
      <w:r>
        <w:rPr>
          <w:rFonts w:ascii="Times New Roman" w:hAnsi="Times New Roman"/>
          <w:b/>
        </w:rPr>
        <w:t>ABSTRACT</w:t>
      </w:r>
    </w:p>
    <w:p>
      <w:pPr>
        <w:spacing w:line="276" w:lineRule="auto" w:after="120"/>
        <w:ind w:firstLine="360"/>
      </w:pPr>
      <w:r>
        <w:rPr>
          <w:rFonts w:ascii="Times New Roman" w:hAnsi="Times New Roman"/>
          <w:sz w:val="24"/>
        </w:rPr>
        <w:t>PennyWise is an AI-powered personal finance and behavioral economics platform designed to go beyond conventional expense tracking. The application combines financial record management with behavioral insights, predictive-style decision support, gamification, savings goals, subscription analysis, and interactive analytics. Its objective is to help users understand not only where their money goes, but also why particular spending patterns occur and how those patterns can affect future financial goals.</w:t>
      </w:r>
    </w:p>
    <w:p>
      <w:pPr>
        <w:spacing w:line="276" w:lineRule="auto" w:after="120"/>
        <w:ind w:firstLine="360"/>
      </w:pPr>
      <w:r>
        <w:rPr>
          <w:rFonts w:ascii="Times New Roman" w:hAnsi="Times New Roman"/>
          <w:sz w:val="24"/>
        </w:rPr>
        <w:t>The current application is implemented as a full-stack web application using HTML5, CSS3 and Vanilla JavaScript on the frontend, Node.js with Express.js on the backend, JWT-based authentication, Chart.js for data visualization, and PDFKit for report generation. The database layer contains a relational schema covering users, settings, income, expenses, budgets, savings goals, subscriptions, achievements, challenges, notifications, reports and other behavioral-finance data. The project also includes a PostgreSQL production schema and a SQLite-to-PostgreSQL migration script for deployment to a managed database such as Neon.</w:t>
      </w:r>
    </w:p>
    <w:p>
      <w:pPr>
        <w:spacing w:line="276" w:lineRule="auto" w:after="120"/>
        <w:ind w:firstLine="360"/>
      </w:pPr>
      <w:r>
        <w:rPr>
          <w:rFonts w:ascii="Times New Roman" w:hAnsi="Times New Roman"/>
          <w:sz w:val="24"/>
        </w:rPr>
        <w:t>The AI Behavior Suite includes rule-based decision support such as the 'Should I Buy It?' Advisor, a weighted Regret Predictor, Opportunity Cost Calculator, Future Savings Simulator, Hidden Expense Detector, Financial Time Machine, Weekly Spending Roast, and a Personalized Financial Coach. The dashboard also calculates financial health indicators from income, deductions, spending, impulse purchases, savings and mood-related expense information.</w:t>
      </w:r>
    </w:p>
    <w:p>
      <w:pPr>
        <w:spacing w:line="276" w:lineRule="auto" w:after="120"/>
        <w:ind w:firstLine="360"/>
      </w:pPr>
      <w:r>
        <w:rPr>
          <w:rFonts w:ascii="Times New Roman" w:hAnsi="Times New Roman"/>
          <w:sz w:val="24"/>
        </w:rPr>
        <w:t>PennyWise further uses gamification through XP, levels, badges and daily savings missions, while Dream Savings Goals translate long-term financial targets into visible progress and level progression. The application is designed with a modern glassmorphism interface, responsive cards, interactive charts, dark/light theme support and a single-page navigation experience.</w:t>
      </w:r>
    </w:p>
    <w:p>
      <w:pPr>
        <w:spacing w:before="200"/>
      </w:pPr>
      <w:r>
        <w:rPr>
          <w:rFonts w:ascii="Times New Roman" w:hAnsi="Times New Roman"/>
          <w:b/>
          <w:sz w:val="24"/>
        </w:rPr>
        <w:t xml:space="preserve">Keywords: </w:t>
      </w:r>
      <w:r>
        <w:rPr>
          <w:rFonts w:ascii="Times New Roman" w:hAnsi="Times New Roman"/>
          <w:sz w:val="24"/>
        </w:rPr>
        <w:t>Personal Finance, Behavioral Economics, AI Decision Support, Expense Tracking, Regret Prediction, Gamification, Savings Goals, Node.js, Express.js, JWT, PostgreSQL</w:t>
      </w:r>
    </w:p>
    <w:p>
      <w:r>
        <w:br w:type="page"/>
      </w:r>
    </w:p>
    <w:p>
      <w:pPr>
        <w:pStyle w:val="Heading1"/>
        <w:spacing w:before="160" w:after="160"/>
        <w:jc w:val="left"/>
      </w:pPr>
      <w:r>
        <w:rPr>
          <w:rFonts w:ascii="Times New Roman" w:hAnsi="Times New Roman"/>
          <w:b/>
        </w:rPr>
        <w:t>Contents</w:t>
      </w:r>
    </w:p>
    <w:p>
      <w:pPr>
        <w:spacing w:line="264" w:lineRule="auto"/>
      </w:pPr>
      <w:r>
        <w:t>The following structure follows the supplied project-report format. Page numbers can be refreshed after final editing in Microsoft Word.</w:t>
      </w:r>
    </w:p>
    <w:tbl>
      <w:tblPr>
        <w:tblStyle w:val="TableGrid"/>
        <w:tblW w:type="auto" w:w="0"/>
        <w:tblLook w:firstColumn="1" w:firstRow="1" w:lastColumn="0" w:lastRow="0" w:noHBand="0" w:noVBand="1" w:val="04A0"/>
      </w:tblPr>
      <w:tblGrid>
        <w:gridCol w:w="4680"/>
        <w:gridCol w:w="4680"/>
      </w:tblGrid>
      <w:tr>
        <w:tc>
          <w:tcPr>
            <w:tcW w:type="dxa" w:w="4680"/>
            <w:shd w:fill="D9E2F3"/>
          </w:tcPr>
          <w:p>
            <w:r>
              <w:rPr>
                <w:rFonts w:ascii="Times New Roman" w:hAnsi="Times New Roman"/>
                <w:b/>
              </w:rPr>
              <w:t>Section</w:t>
            </w:r>
          </w:p>
        </w:tc>
        <w:tc>
          <w:tcPr>
            <w:tcW w:type="dxa" w:w="4680"/>
            <w:shd w:fill="D9E2F3"/>
          </w:tcPr>
          <w:p>
            <w:r>
              <w:rPr>
                <w:rFonts w:ascii="Times New Roman" w:hAnsi="Times New Roman"/>
                <w:b/>
              </w:rPr>
              <w:t>Title</w:t>
            </w:r>
          </w:p>
        </w:tc>
      </w:tr>
      <w:tr>
        <w:tc>
          <w:tcPr>
            <w:tcW w:type="dxa" w:w="4680"/>
          </w:tcPr>
          <w:p>
            <w:r>
              <w:rPr>
                <w:rFonts w:ascii="Times New Roman" w:hAnsi="Times New Roman"/>
                <w:sz w:val="21"/>
              </w:rPr>
              <w:t>1</w:t>
            </w:r>
          </w:p>
        </w:tc>
        <w:tc>
          <w:tcPr>
            <w:tcW w:type="dxa" w:w="4680"/>
          </w:tcPr>
          <w:p>
            <w:r>
              <w:rPr>
                <w:rFonts w:ascii="Times New Roman" w:hAnsi="Times New Roman"/>
                <w:sz w:val="21"/>
              </w:rPr>
              <w:t>Introduction</w:t>
            </w:r>
          </w:p>
        </w:tc>
      </w:tr>
      <w:tr>
        <w:tc>
          <w:tcPr>
            <w:tcW w:type="dxa" w:w="4680"/>
          </w:tcPr>
          <w:p>
            <w:r>
              <w:rPr>
                <w:rFonts w:ascii="Times New Roman" w:hAnsi="Times New Roman"/>
                <w:sz w:val="21"/>
              </w:rPr>
              <w:t>2</w:t>
            </w:r>
          </w:p>
        </w:tc>
        <w:tc>
          <w:tcPr>
            <w:tcW w:type="dxa" w:w="4680"/>
          </w:tcPr>
          <w:p>
            <w:r>
              <w:rPr>
                <w:rFonts w:ascii="Times New Roman" w:hAnsi="Times New Roman"/>
                <w:sz w:val="21"/>
              </w:rPr>
              <w:t>Basic Concepts</w:t>
            </w:r>
          </w:p>
        </w:tc>
      </w:tr>
      <w:tr>
        <w:tc>
          <w:tcPr>
            <w:tcW w:type="dxa" w:w="4680"/>
          </w:tcPr>
          <w:p>
            <w:r>
              <w:rPr>
                <w:rFonts w:ascii="Times New Roman" w:hAnsi="Times New Roman"/>
                <w:sz w:val="21"/>
              </w:rPr>
            </w:r>
          </w:p>
        </w:tc>
        <w:tc>
          <w:tcPr>
            <w:tcW w:type="dxa" w:w="4680"/>
          </w:tcPr>
          <w:p>
            <w:r>
              <w:rPr>
                <w:rFonts w:ascii="Times New Roman" w:hAnsi="Times New Roman"/>
                <w:sz w:val="21"/>
              </w:rPr>
              <w:t>Literature Review</w:t>
            </w:r>
          </w:p>
        </w:tc>
      </w:tr>
      <w:tr>
        <w:tc>
          <w:tcPr>
            <w:tcW w:type="dxa" w:w="4680"/>
          </w:tcPr>
          <w:p>
            <w:r>
              <w:rPr>
                <w:rFonts w:ascii="Times New Roman" w:hAnsi="Times New Roman"/>
                <w:sz w:val="21"/>
              </w:rPr>
              <w:t>3</w:t>
            </w:r>
          </w:p>
        </w:tc>
        <w:tc>
          <w:tcPr>
            <w:tcW w:type="dxa" w:w="4680"/>
          </w:tcPr>
          <w:p>
            <w:r>
              <w:rPr>
                <w:rFonts w:ascii="Times New Roman" w:hAnsi="Times New Roman"/>
                <w:sz w:val="21"/>
              </w:rPr>
              <w:t>Problem Statement and Requirement Specifications</w:t>
            </w:r>
          </w:p>
        </w:tc>
      </w:tr>
      <w:tr>
        <w:tc>
          <w:tcPr>
            <w:tcW w:type="dxa" w:w="4680"/>
          </w:tcPr>
          <w:p>
            <w:r>
              <w:rPr>
                <w:rFonts w:ascii="Times New Roman" w:hAnsi="Times New Roman"/>
                <w:sz w:val="21"/>
              </w:rPr>
              <w:t>3.1</w:t>
            </w:r>
          </w:p>
        </w:tc>
        <w:tc>
          <w:tcPr>
            <w:tcW w:type="dxa" w:w="4680"/>
          </w:tcPr>
          <w:p>
            <w:r>
              <w:rPr>
                <w:rFonts w:ascii="Times New Roman" w:hAnsi="Times New Roman"/>
                <w:sz w:val="21"/>
              </w:rPr>
              <w:t>Project Planning</w:t>
            </w:r>
          </w:p>
        </w:tc>
      </w:tr>
      <w:tr>
        <w:tc>
          <w:tcPr>
            <w:tcW w:type="dxa" w:w="4680"/>
          </w:tcPr>
          <w:p>
            <w:r>
              <w:rPr>
                <w:rFonts w:ascii="Times New Roman" w:hAnsi="Times New Roman"/>
                <w:sz w:val="21"/>
              </w:rPr>
              <w:t>3.2</w:t>
            </w:r>
          </w:p>
        </w:tc>
        <w:tc>
          <w:tcPr>
            <w:tcW w:type="dxa" w:w="4680"/>
          </w:tcPr>
          <w:p>
            <w:r>
              <w:rPr>
                <w:rFonts w:ascii="Times New Roman" w:hAnsi="Times New Roman"/>
                <w:sz w:val="21"/>
              </w:rPr>
              <w:t>Project Analysis (SRS)</w:t>
            </w:r>
          </w:p>
        </w:tc>
      </w:tr>
      <w:tr>
        <w:tc>
          <w:tcPr>
            <w:tcW w:type="dxa" w:w="4680"/>
          </w:tcPr>
          <w:p>
            <w:r>
              <w:rPr>
                <w:rFonts w:ascii="Times New Roman" w:hAnsi="Times New Roman"/>
                <w:sz w:val="21"/>
              </w:rPr>
              <w:t>3.3</w:t>
            </w:r>
          </w:p>
        </w:tc>
        <w:tc>
          <w:tcPr>
            <w:tcW w:type="dxa" w:w="4680"/>
          </w:tcPr>
          <w:p>
            <w:r>
              <w:rPr>
                <w:rFonts w:ascii="Times New Roman" w:hAnsi="Times New Roman"/>
                <w:sz w:val="21"/>
              </w:rPr>
              <w:t>System Design</w:t>
            </w:r>
          </w:p>
        </w:tc>
      </w:tr>
      <w:tr>
        <w:tc>
          <w:tcPr>
            <w:tcW w:type="dxa" w:w="4680"/>
          </w:tcPr>
          <w:p>
            <w:r>
              <w:rPr>
                <w:rFonts w:ascii="Times New Roman" w:hAnsi="Times New Roman"/>
                <w:sz w:val="21"/>
              </w:rPr>
              <w:t>3.3.1</w:t>
            </w:r>
          </w:p>
        </w:tc>
        <w:tc>
          <w:tcPr>
            <w:tcW w:type="dxa" w:w="4680"/>
          </w:tcPr>
          <w:p>
            <w:r>
              <w:rPr>
                <w:rFonts w:ascii="Times New Roman" w:hAnsi="Times New Roman"/>
                <w:sz w:val="21"/>
              </w:rPr>
              <w:t>Design Constraints</w:t>
            </w:r>
          </w:p>
        </w:tc>
      </w:tr>
      <w:tr>
        <w:tc>
          <w:tcPr>
            <w:tcW w:type="dxa" w:w="4680"/>
          </w:tcPr>
          <w:p>
            <w:r>
              <w:rPr>
                <w:rFonts w:ascii="Times New Roman" w:hAnsi="Times New Roman"/>
                <w:sz w:val="21"/>
              </w:rPr>
              <w:t>3.3.2</w:t>
            </w:r>
          </w:p>
        </w:tc>
        <w:tc>
          <w:tcPr>
            <w:tcW w:type="dxa" w:w="4680"/>
          </w:tcPr>
          <w:p>
            <w:r>
              <w:rPr>
                <w:rFonts w:ascii="Times New Roman" w:hAnsi="Times New Roman"/>
                <w:sz w:val="21"/>
              </w:rPr>
              <w:t>System Architecture / Block Diagram</w:t>
            </w:r>
          </w:p>
        </w:tc>
      </w:tr>
      <w:tr>
        <w:tc>
          <w:tcPr>
            <w:tcW w:type="dxa" w:w="4680"/>
          </w:tcPr>
          <w:p>
            <w:r>
              <w:rPr>
                <w:rFonts w:ascii="Times New Roman" w:hAnsi="Times New Roman"/>
                <w:sz w:val="21"/>
              </w:rPr>
              <w:t>4</w:t>
            </w:r>
          </w:p>
        </w:tc>
        <w:tc>
          <w:tcPr>
            <w:tcW w:type="dxa" w:w="4680"/>
          </w:tcPr>
          <w:p>
            <w:r>
              <w:rPr>
                <w:rFonts w:ascii="Times New Roman" w:hAnsi="Times New Roman"/>
                <w:sz w:val="21"/>
              </w:rPr>
              <w:t>Implementation</w:t>
            </w:r>
          </w:p>
        </w:tc>
      </w:tr>
      <w:tr>
        <w:tc>
          <w:tcPr>
            <w:tcW w:type="dxa" w:w="4680"/>
          </w:tcPr>
          <w:p>
            <w:r>
              <w:rPr>
                <w:rFonts w:ascii="Times New Roman" w:hAnsi="Times New Roman"/>
                <w:sz w:val="21"/>
              </w:rPr>
              <w:t>4.1</w:t>
            </w:r>
          </w:p>
        </w:tc>
        <w:tc>
          <w:tcPr>
            <w:tcW w:type="dxa" w:w="4680"/>
          </w:tcPr>
          <w:p>
            <w:r>
              <w:rPr>
                <w:rFonts w:ascii="Times New Roman" w:hAnsi="Times New Roman"/>
                <w:sz w:val="21"/>
              </w:rPr>
              <w:t>Methodology</w:t>
            </w:r>
          </w:p>
        </w:tc>
      </w:tr>
      <w:tr>
        <w:tc>
          <w:tcPr>
            <w:tcW w:type="dxa" w:w="4680"/>
          </w:tcPr>
          <w:p>
            <w:r>
              <w:rPr>
                <w:rFonts w:ascii="Times New Roman" w:hAnsi="Times New Roman"/>
                <w:sz w:val="21"/>
              </w:rPr>
              <w:t>4.2</w:t>
            </w:r>
          </w:p>
        </w:tc>
        <w:tc>
          <w:tcPr>
            <w:tcW w:type="dxa" w:w="4680"/>
          </w:tcPr>
          <w:p>
            <w:r>
              <w:rPr>
                <w:rFonts w:ascii="Times New Roman" w:hAnsi="Times New Roman"/>
                <w:sz w:val="21"/>
              </w:rPr>
              <w:t>Testing / Verification Plan</w:t>
            </w:r>
          </w:p>
        </w:tc>
      </w:tr>
      <w:tr>
        <w:tc>
          <w:tcPr>
            <w:tcW w:type="dxa" w:w="4680"/>
          </w:tcPr>
          <w:p>
            <w:r>
              <w:rPr>
                <w:rFonts w:ascii="Times New Roman" w:hAnsi="Times New Roman"/>
                <w:sz w:val="21"/>
              </w:rPr>
              <w:t>4.3</w:t>
            </w:r>
          </w:p>
        </w:tc>
        <w:tc>
          <w:tcPr>
            <w:tcW w:type="dxa" w:w="4680"/>
          </w:tcPr>
          <w:p>
            <w:r>
              <w:rPr>
                <w:rFonts w:ascii="Times New Roman" w:hAnsi="Times New Roman"/>
                <w:sz w:val="21"/>
              </w:rPr>
              <w:t>Result Analysis / Screenshots</w:t>
            </w:r>
          </w:p>
        </w:tc>
      </w:tr>
      <w:tr>
        <w:tc>
          <w:tcPr>
            <w:tcW w:type="dxa" w:w="4680"/>
          </w:tcPr>
          <w:p>
            <w:r>
              <w:rPr>
                <w:rFonts w:ascii="Times New Roman" w:hAnsi="Times New Roman"/>
                <w:sz w:val="21"/>
              </w:rPr>
              <w:t>4.4</w:t>
            </w:r>
          </w:p>
        </w:tc>
        <w:tc>
          <w:tcPr>
            <w:tcW w:type="dxa" w:w="4680"/>
          </w:tcPr>
          <w:p>
            <w:r>
              <w:rPr>
                <w:rFonts w:ascii="Times New Roman" w:hAnsi="Times New Roman"/>
                <w:sz w:val="21"/>
              </w:rPr>
              <w:t>Quality Assurance</w:t>
            </w:r>
          </w:p>
        </w:tc>
      </w:tr>
      <w:tr>
        <w:tc>
          <w:tcPr>
            <w:tcW w:type="dxa" w:w="4680"/>
          </w:tcPr>
          <w:p>
            <w:r>
              <w:rPr>
                <w:rFonts w:ascii="Times New Roman" w:hAnsi="Times New Roman"/>
                <w:sz w:val="21"/>
              </w:rPr>
              <w:t>5</w:t>
            </w:r>
          </w:p>
        </w:tc>
        <w:tc>
          <w:tcPr>
            <w:tcW w:type="dxa" w:w="4680"/>
          </w:tcPr>
          <w:p>
            <w:r>
              <w:rPr>
                <w:rFonts w:ascii="Times New Roman" w:hAnsi="Times New Roman"/>
                <w:sz w:val="21"/>
              </w:rPr>
              <w:t>Standard Adopted</w:t>
            </w:r>
          </w:p>
        </w:tc>
      </w:tr>
      <w:tr>
        <w:tc>
          <w:tcPr>
            <w:tcW w:type="dxa" w:w="4680"/>
          </w:tcPr>
          <w:p>
            <w:r>
              <w:rPr>
                <w:rFonts w:ascii="Times New Roman" w:hAnsi="Times New Roman"/>
                <w:sz w:val="21"/>
              </w:rPr>
              <w:t>5.1</w:t>
            </w:r>
          </w:p>
        </w:tc>
        <w:tc>
          <w:tcPr>
            <w:tcW w:type="dxa" w:w="4680"/>
          </w:tcPr>
          <w:p>
            <w:r>
              <w:rPr>
                <w:rFonts w:ascii="Times New Roman" w:hAnsi="Times New Roman"/>
                <w:sz w:val="21"/>
              </w:rPr>
              <w:t>Design Standards</w:t>
            </w:r>
          </w:p>
        </w:tc>
      </w:tr>
      <w:tr>
        <w:tc>
          <w:tcPr>
            <w:tcW w:type="dxa" w:w="4680"/>
          </w:tcPr>
          <w:p>
            <w:r>
              <w:rPr>
                <w:rFonts w:ascii="Times New Roman" w:hAnsi="Times New Roman"/>
                <w:sz w:val="21"/>
              </w:rPr>
              <w:t>5.2</w:t>
            </w:r>
          </w:p>
        </w:tc>
        <w:tc>
          <w:tcPr>
            <w:tcW w:type="dxa" w:w="4680"/>
          </w:tcPr>
          <w:p>
            <w:r>
              <w:rPr>
                <w:rFonts w:ascii="Times New Roman" w:hAnsi="Times New Roman"/>
                <w:sz w:val="21"/>
              </w:rPr>
              <w:t>Coding Standards</w:t>
            </w:r>
          </w:p>
        </w:tc>
      </w:tr>
      <w:tr>
        <w:tc>
          <w:tcPr>
            <w:tcW w:type="dxa" w:w="4680"/>
          </w:tcPr>
          <w:p>
            <w:r>
              <w:rPr>
                <w:rFonts w:ascii="Times New Roman" w:hAnsi="Times New Roman"/>
                <w:sz w:val="21"/>
              </w:rPr>
              <w:t>5.3</w:t>
            </w:r>
          </w:p>
        </w:tc>
        <w:tc>
          <w:tcPr>
            <w:tcW w:type="dxa" w:w="4680"/>
          </w:tcPr>
          <w:p>
            <w:r>
              <w:rPr>
                <w:rFonts w:ascii="Times New Roman" w:hAnsi="Times New Roman"/>
                <w:sz w:val="21"/>
              </w:rPr>
              <w:t>Testing Standards</w:t>
            </w:r>
          </w:p>
        </w:tc>
      </w:tr>
      <w:tr>
        <w:tc>
          <w:tcPr>
            <w:tcW w:type="dxa" w:w="4680"/>
          </w:tcPr>
          <w:p>
            <w:r>
              <w:rPr>
                <w:rFonts w:ascii="Times New Roman" w:hAnsi="Times New Roman"/>
                <w:sz w:val="21"/>
              </w:rPr>
              <w:t>6</w:t>
            </w:r>
          </w:p>
        </w:tc>
        <w:tc>
          <w:tcPr>
            <w:tcW w:type="dxa" w:w="4680"/>
          </w:tcPr>
          <w:p>
            <w:r>
              <w:rPr>
                <w:rFonts w:ascii="Times New Roman" w:hAnsi="Times New Roman"/>
                <w:sz w:val="21"/>
              </w:rPr>
              <w:t>Conclusion and Future Scope</w:t>
            </w:r>
          </w:p>
        </w:tc>
      </w:tr>
      <w:tr>
        <w:tc>
          <w:tcPr>
            <w:tcW w:type="dxa" w:w="4680"/>
          </w:tcPr>
          <w:p>
            <w:r>
              <w:rPr>
                <w:rFonts w:ascii="Times New Roman" w:hAnsi="Times New Roman"/>
                <w:sz w:val="21"/>
              </w:rPr>
              <w:t>6.1</w:t>
            </w:r>
          </w:p>
        </w:tc>
        <w:tc>
          <w:tcPr>
            <w:tcW w:type="dxa" w:w="4680"/>
          </w:tcPr>
          <w:p>
            <w:r>
              <w:rPr>
                <w:rFonts w:ascii="Times New Roman" w:hAnsi="Times New Roman"/>
                <w:sz w:val="21"/>
              </w:rPr>
              <w:t>Conclusion</w:t>
            </w:r>
          </w:p>
        </w:tc>
      </w:tr>
      <w:tr>
        <w:tc>
          <w:tcPr>
            <w:tcW w:type="dxa" w:w="4680"/>
          </w:tcPr>
          <w:p>
            <w:r>
              <w:rPr>
                <w:rFonts w:ascii="Times New Roman" w:hAnsi="Times New Roman"/>
                <w:sz w:val="21"/>
              </w:rPr>
              <w:t>6.2</w:t>
            </w:r>
          </w:p>
        </w:tc>
        <w:tc>
          <w:tcPr>
            <w:tcW w:type="dxa" w:w="4680"/>
          </w:tcPr>
          <w:p>
            <w:r>
              <w:rPr>
                <w:rFonts w:ascii="Times New Roman" w:hAnsi="Times New Roman"/>
                <w:sz w:val="21"/>
              </w:rPr>
              <w:t>Future Scope</w:t>
            </w:r>
          </w:p>
        </w:tc>
      </w:tr>
      <w:tr>
        <w:tc>
          <w:tcPr>
            <w:tcW w:type="dxa" w:w="4680"/>
          </w:tcPr>
          <w:p>
            <w:r>
              <w:rPr>
                <w:rFonts w:ascii="Times New Roman" w:hAnsi="Times New Roman"/>
                <w:sz w:val="21"/>
              </w:rPr>
            </w:r>
          </w:p>
        </w:tc>
        <w:tc>
          <w:tcPr>
            <w:tcW w:type="dxa" w:w="4680"/>
          </w:tcPr>
          <w:p>
            <w:r>
              <w:rPr>
                <w:rFonts w:ascii="Times New Roman" w:hAnsi="Times New Roman"/>
                <w:sz w:val="21"/>
              </w:rPr>
              <w:t>References</w:t>
            </w:r>
          </w:p>
        </w:tc>
      </w:tr>
    </w:tbl>
    <w:p>
      <w:r>
        <w:br w:type="page"/>
      </w:r>
    </w:p>
    <w:p>
      <w:pPr>
        <w:pStyle w:val="Heading1"/>
        <w:spacing w:before="160" w:after="160"/>
        <w:jc w:val="left"/>
      </w:pPr>
      <w:r>
        <w:rPr>
          <w:rFonts w:ascii="Times New Roman" w:hAnsi="Times New Roman"/>
          <w:b/>
        </w:rPr>
        <w:t>LIST OF FIGURES</w:t>
      </w:r>
    </w:p>
    <w:p>
      <w:r>
        <w:rPr>
          <w:rFonts w:ascii="Times New Roman" w:hAnsi="Times New Roman"/>
          <w:sz w:val="22"/>
        </w:rPr>
        <w:t>Figure 3.1  High-Level System Architecture</w:t>
      </w:r>
    </w:p>
    <w:p>
      <w:r>
        <w:rPr>
          <w:rFonts w:ascii="Times New Roman" w:hAnsi="Times New Roman"/>
          <w:sz w:val="22"/>
        </w:rPr>
        <w:t>Figure 3.2  Use Case Diagram</w:t>
      </w:r>
    </w:p>
    <w:p>
      <w:r>
        <w:rPr>
          <w:rFonts w:ascii="Times New Roman" w:hAnsi="Times New Roman"/>
          <w:sz w:val="22"/>
        </w:rPr>
        <w:t>Figure 3.3  Entity-Relationship (ER) Diagram</w:t>
      </w:r>
    </w:p>
    <w:p>
      <w:r>
        <w:rPr>
          <w:rFonts w:ascii="Times New Roman" w:hAnsi="Times New Roman"/>
          <w:sz w:val="22"/>
        </w:rPr>
        <w:t>Figure 3.4  Data Flow / Request-Response Flow</w:t>
      </w:r>
    </w:p>
    <w:p>
      <w:r>
        <w:rPr>
          <w:rFonts w:ascii="Times New Roman" w:hAnsi="Times New Roman"/>
          <w:sz w:val="22"/>
        </w:rPr>
        <w:t>Figure 4.1  PennyWise Dashboard</w:t>
      </w:r>
    </w:p>
    <w:p>
      <w:r>
        <w:rPr>
          <w:rFonts w:ascii="Times New Roman" w:hAnsi="Times New Roman"/>
          <w:sz w:val="22"/>
        </w:rPr>
        <w:t>Figure 4.2  Registration / Login Interface</w:t>
      </w:r>
    </w:p>
    <w:p>
      <w:r>
        <w:rPr>
          <w:rFonts w:ascii="Times New Roman" w:hAnsi="Times New Roman"/>
          <w:sz w:val="22"/>
        </w:rPr>
        <w:t>Figure 4.3  Expense Management Interface</w:t>
      </w:r>
    </w:p>
    <w:p>
      <w:r>
        <w:rPr>
          <w:rFonts w:ascii="Times New Roman" w:hAnsi="Times New Roman"/>
          <w:sz w:val="22"/>
        </w:rPr>
        <w:t>Figure 4.4  Analytics and Mood Analysis</w:t>
      </w:r>
    </w:p>
    <w:p>
      <w:r>
        <w:rPr>
          <w:rFonts w:ascii="Times New Roman" w:hAnsi="Times New Roman"/>
          <w:sz w:val="22"/>
        </w:rPr>
        <w:t>Figure 4.5  AI Behavior Suite</w:t>
      </w:r>
    </w:p>
    <w:p>
      <w:r>
        <w:rPr>
          <w:rFonts w:ascii="Times New Roman" w:hAnsi="Times New Roman"/>
          <w:sz w:val="22"/>
        </w:rPr>
        <w:t>Figure 4.6  Should I Buy It? Advisor Result</w:t>
      </w:r>
    </w:p>
    <w:p>
      <w:r>
        <w:rPr>
          <w:rFonts w:ascii="Times New Roman" w:hAnsi="Times New Roman"/>
          <w:sz w:val="22"/>
        </w:rPr>
        <w:t>Figure 4.7  Regret Predictor Result</w:t>
      </w:r>
    </w:p>
    <w:p>
      <w:r>
        <w:rPr>
          <w:rFonts w:ascii="Times New Roman" w:hAnsi="Times New Roman"/>
          <w:sz w:val="22"/>
        </w:rPr>
        <w:t>Figure 4.8  Dream Savings Goals</w:t>
      </w:r>
    </w:p>
    <w:p>
      <w:r>
        <w:rPr>
          <w:rFonts w:ascii="Times New Roman" w:hAnsi="Times New Roman"/>
          <w:sz w:val="22"/>
        </w:rPr>
        <w:t>Figure 4.9  Subscription Killer</w:t>
      </w:r>
    </w:p>
    <w:p>
      <w:r>
        <w:rPr>
          <w:rFonts w:ascii="Times New Roman" w:hAnsi="Times New Roman"/>
          <w:sz w:val="22"/>
        </w:rPr>
        <w:t>Figure 4.10  Money Game, XP and Badges</w:t>
      </w:r>
    </w:p>
    <w:p>
      <w:r>
        <w:rPr>
          <w:rFonts w:ascii="Times New Roman" w:hAnsi="Times New Roman"/>
          <w:sz w:val="22"/>
        </w:rPr>
        <w:t>Figure 4.11  No-Spend Calendar</w:t>
      </w:r>
    </w:p>
    <w:p>
      <w:r>
        <w:rPr>
          <w:rFonts w:ascii="Times New Roman" w:hAnsi="Times New Roman"/>
          <w:sz w:val="22"/>
        </w:rPr>
        <w:t>Figure 4.12  Monthly Report / PDF</w:t>
      </w:r>
    </w:p>
    <w:p>
      <w:r>
        <w:rPr>
          <w:rFonts w:ascii="Times New Roman" w:hAnsi="Times New Roman"/>
          <w:sz w:val="22"/>
        </w:rPr>
        <w:t>Figure 4.13  Profile and Deduction Management</w:t>
      </w:r>
    </w:p>
    <w:p>
      <w:r>
        <w:rPr>
          <w:rFonts w:ascii="Times New Roman" w:hAnsi="Times New Roman"/>
          <w:sz w:val="22"/>
        </w:rPr>
        <w:t>Figure 4.14  Future Savings / Opportunity Cost Tools</w:t>
      </w:r>
    </w:p>
    <w:p>
      <w:r>
        <w:br w:type="page"/>
      </w:r>
    </w:p>
    <w:p>
      <w:pPr>
        <w:pStyle w:val="Heading1"/>
        <w:spacing w:before="160" w:after="160"/>
        <w:jc w:val="left"/>
      </w:pPr>
      <w:r>
        <w:rPr>
          <w:rFonts w:ascii="Times New Roman" w:hAnsi="Times New Roman"/>
          <w:b/>
        </w:rPr>
        <w:t>Chapter 1</w:t>
      </w:r>
    </w:p>
    <w:p>
      <w:pPr>
        <w:pStyle w:val="Heading1"/>
        <w:spacing w:before="160" w:after="160"/>
        <w:jc w:val="left"/>
      </w:pPr>
      <w:r>
        <w:rPr>
          <w:rFonts w:ascii="Times New Roman" w:hAnsi="Times New Roman"/>
          <w:b/>
        </w:rPr>
        <w:t>Introduction</w:t>
      </w:r>
    </w:p>
    <w:p>
      <w:pPr>
        <w:spacing w:line="276" w:lineRule="auto" w:after="120"/>
        <w:ind w:firstLine="360"/>
      </w:pPr>
      <w:r>
        <w:rPr>
          <w:rFonts w:ascii="Times New Roman" w:hAnsi="Times New Roman"/>
          <w:sz w:val="24"/>
        </w:rPr>
        <w:t>Personal finance applications traditionally focus on recording income, expenses and budgets. PennyWise extends this model by treating spending as a behavioral process. Instead of showing only transaction totals, it uses transaction history, mood information, impulse indicators, savings goals and subscription usage to generate actionable feedback.</w:t>
      </w:r>
    </w:p>
    <w:p>
      <w:pPr>
        <w:spacing w:line="276" w:lineRule="auto" w:after="120"/>
        <w:ind w:firstLine="360"/>
      </w:pPr>
      <w:r>
        <w:rPr>
          <w:rFonts w:ascii="Times New Roman" w:hAnsi="Times New Roman"/>
          <w:sz w:val="24"/>
        </w:rPr>
        <w:t>The project was conceived as an AI-powered financial command center. The supplied project specification describes the platform as a personal finance and budgeting system that combines behavioral insights, gamification, predictive analytics and intelligent recommendations. The current codebase implements this direction through a browser-based single-page interface and a Node.js/Express REST API.</w:t>
      </w:r>
    </w:p>
    <w:p>
      <w:pPr>
        <w:pStyle w:val="Heading2"/>
      </w:pPr>
      <w:r>
        <w:rPr>
          <w:rFonts w:ascii="Times New Roman" w:hAnsi="Times New Roman"/>
          <w:b/>
        </w:rPr>
        <w:t>1.1 Background</w:t>
      </w:r>
    </w:p>
    <w:p>
      <w:pPr>
        <w:spacing w:line="276" w:lineRule="auto" w:after="120"/>
        <w:ind w:firstLine="360"/>
      </w:pPr>
      <w:r>
        <w:rPr>
          <w:rFonts w:ascii="Times New Roman" w:hAnsi="Times New Roman"/>
          <w:sz w:val="24"/>
        </w:rPr>
        <w:t>Financial decisions are affected by factors such as affordability, emotional state, purchase frequency, recurring commitments and progress toward longer-term goals. A user may know how much was spent but still lack an immediate explanation of the behavioral consequences. PennyWise attempts to bridge this gap through contextual calculations and user-specific recommendations.</w:t>
      </w:r>
    </w:p>
    <w:p>
      <w:pPr>
        <w:pStyle w:val="Heading2"/>
      </w:pPr>
      <w:r>
        <w:rPr>
          <w:rFonts w:ascii="Times New Roman" w:hAnsi="Times New Roman"/>
          <w:b/>
        </w:rPr>
        <w:t>1.2 Motivation</w:t>
      </w:r>
    </w:p>
    <w:p>
      <w:pPr>
        <w:spacing w:line="276" w:lineRule="auto" w:after="120"/>
        <w:ind w:firstLine="360"/>
      </w:pPr>
      <w:r>
        <w:rPr>
          <w:rFonts w:ascii="Times New Roman" w:hAnsi="Times New Roman"/>
          <w:sz w:val="24"/>
        </w:rPr>
        <w:t>The motivation behind PennyWise is to make financial management more understandable and actionable. The platform combines ordinary financial records with behavioral indicators so that users can receive explanations such as whether a purchase fits the available balance, how a purchase may delay a savings goal, whether subscriptions are being underused, and how small expenses accumulate.</w:t>
      </w:r>
    </w:p>
    <w:p>
      <w:pPr>
        <w:pStyle w:val="Heading2"/>
      </w:pPr>
      <w:r>
        <w:rPr>
          <w:rFonts w:ascii="Times New Roman" w:hAnsi="Times New Roman"/>
          <w:b/>
        </w:rPr>
        <w:t>1.3 Objectives</w:t>
      </w:r>
    </w:p>
    <w:p>
      <w:pPr>
        <w:pStyle w:val="ListBullet"/>
        <w:spacing w:line="264" w:lineRule="auto" w:after="60"/>
      </w:pPr>
      <w:r>
        <w:rPr>
          <w:rFonts w:ascii="Times New Roman" w:hAnsi="Times New Roman"/>
          <w:sz w:val="24"/>
        </w:rPr>
        <w:t>Develop a unified personal-finance dashboard for income, deductions, expenses, budgets and savings.</w:t>
      </w:r>
    </w:p>
    <w:p>
      <w:pPr>
        <w:pStyle w:val="ListBullet"/>
        <w:spacing w:line="264" w:lineRule="auto" w:after="60"/>
      </w:pPr>
      <w:r>
        <w:rPr>
          <w:rFonts w:ascii="Times New Roman" w:hAnsi="Times New Roman"/>
          <w:sz w:val="24"/>
        </w:rPr>
        <w:t>Provide user authentication and isolate user-specific financial records.</w:t>
      </w:r>
    </w:p>
    <w:p>
      <w:pPr>
        <w:pStyle w:val="ListBullet"/>
        <w:spacing w:line="264" w:lineRule="auto" w:after="60"/>
      </w:pPr>
      <w:r>
        <w:rPr>
          <w:rFonts w:ascii="Times New Roman" w:hAnsi="Times New Roman"/>
          <w:sz w:val="24"/>
        </w:rPr>
        <w:t>Generate data-driven behavioral insights from transaction history and mood information.</w:t>
      </w:r>
    </w:p>
    <w:p>
      <w:pPr>
        <w:pStyle w:val="ListBullet"/>
        <w:spacing w:line="264" w:lineRule="auto" w:after="60"/>
      </w:pPr>
      <w:r>
        <w:rPr>
          <w:rFonts w:ascii="Times New Roman" w:hAnsi="Times New Roman"/>
          <w:sz w:val="24"/>
        </w:rPr>
        <w:t>Provide decision-support tools for purchases, opportunity cost, future savings and regret risk.</w:t>
      </w:r>
    </w:p>
    <w:p>
      <w:pPr>
        <w:pStyle w:val="ListBullet"/>
        <w:spacing w:line="264" w:lineRule="auto" w:after="60"/>
      </w:pPr>
      <w:r>
        <w:rPr>
          <w:rFonts w:ascii="Times New Roman" w:hAnsi="Times New Roman"/>
          <w:sz w:val="24"/>
        </w:rPr>
        <w:t>Encourage saving through Dream Goals, XP, levels, badges and daily missions.</w:t>
      </w:r>
    </w:p>
    <w:p>
      <w:pPr>
        <w:pStyle w:val="ListBullet"/>
        <w:spacing w:line="264" w:lineRule="auto" w:after="60"/>
      </w:pPr>
      <w:r>
        <w:rPr>
          <w:rFonts w:ascii="Times New Roman" w:hAnsi="Times New Roman"/>
          <w:sz w:val="24"/>
        </w:rPr>
        <w:t>Provide subscription usage analysis and identify potential savings.</w:t>
      </w:r>
    </w:p>
    <w:p>
      <w:pPr>
        <w:pStyle w:val="ListBullet"/>
        <w:spacing w:line="264" w:lineRule="auto" w:after="60"/>
      </w:pPr>
      <w:r>
        <w:rPr>
          <w:rFonts w:ascii="Times New Roman" w:hAnsi="Times New Roman"/>
          <w:sz w:val="24"/>
        </w:rPr>
        <w:t>Generate monthly financial reports in PDF format.</w:t>
      </w:r>
    </w:p>
    <w:p>
      <w:pPr>
        <w:pStyle w:val="ListBullet"/>
        <w:spacing w:line="264" w:lineRule="auto" w:after="60"/>
      </w:pPr>
      <w:r>
        <w:rPr>
          <w:rFonts w:ascii="Times New Roman" w:hAnsi="Times New Roman"/>
          <w:sz w:val="24"/>
        </w:rPr>
        <w:t>Provide a modern, responsive and interactive user interface.</w:t>
      </w:r>
    </w:p>
    <w:p>
      <w:pPr>
        <w:pStyle w:val="ListBullet"/>
        <w:spacing w:line="264" w:lineRule="auto" w:after="60"/>
      </w:pPr>
      <w:r>
        <w:rPr>
          <w:rFonts w:ascii="Times New Roman" w:hAnsi="Times New Roman"/>
          <w:sz w:val="24"/>
        </w:rPr>
        <w:t>Prepare the application for persistent cloud deployment using PostgreSQL and environment-based configuration.</w:t>
      </w:r>
    </w:p>
    <w:p>
      <w:pPr>
        <w:pStyle w:val="Heading2"/>
      </w:pPr>
      <w:r>
        <w:rPr>
          <w:rFonts w:ascii="Times New Roman" w:hAnsi="Times New Roman"/>
          <w:b/>
        </w:rPr>
        <w:t>1.4 Scope</w:t>
      </w:r>
    </w:p>
    <w:p>
      <w:pPr>
        <w:spacing w:line="276" w:lineRule="auto" w:after="120"/>
        <w:ind w:firstLine="360"/>
      </w:pPr>
      <w:r>
        <w:rPr>
          <w:rFonts w:ascii="Times New Roman" w:hAnsi="Times New Roman"/>
          <w:sz w:val="24"/>
        </w:rPr>
        <w:t>The scope covers a web-based personal finance platform for individual users. It includes financial data entry, analytics, behavioral decision support, savings goals, subscriptions, gamification, reports, profile settings and supporting APIs. Deployment-specific details such as the final Vercel URL, Neon database URL, production verification results and final environment variables are intentionally left as placeholders until the deployment is completed.</w:t>
      </w:r>
    </w:p>
    <w:p>
      <w:pPr>
        <w:pStyle w:val="Heading2"/>
      </w:pPr>
      <w:r>
        <w:rPr>
          <w:rFonts w:ascii="Times New Roman" w:hAnsi="Times New Roman"/>
          <w:b/>
        </w:rPr>
        <w:t>1.5 Key Features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jc w:val="center"/>
            </w:pPr>
            <w:r>
              <w:rPr>
                <w:rFonts w:ascii="Times New Roman" w:hAnsi="Times New Roman"/>
                <w:b/>
                <w:sz w:val="21"/>
              </w:rPr>
              <w:t>Area</w:t>
            </w:r>
          </w:p>
        </w:tc>
        <w:tc>
          <w:tcPr>
            <w:tcW w:type="dxa" w:w="4680"/>
            <w:shd w:fill="D9E2F3"/>
          </w:tcPr>
          <w:p>
            <w:pPr>
              <w:jc w:val="center"/>
            </w:pPr>
            <w:r>
              <w:rPr>
                <w:rFonts w:ascii="Times New Roman" w:hAnsi="Times New Roman"/>
                <w:b/>
                <w:sz w:val="21"/>
              </w:rPr>
              <w:t>Current Project Capability</w:t>
            </w:r>
          </w:p>
        </w:tc>
      </w:tr>
      <w:tr>
        <w:tc>
          <w:tcPr>
            <w:tcW w:type="dxa" w:w="4680"/>
          </w:tcPr>
          <w:p>
            <w:pPr>
              <w:jc w:val="left"/>
            </w:pPr>
            <w:r>
              <w:rPr>
                <w:rFonts w:ascii="Times New Roman" w:hAnsi="Times New Roman"/>
                <w:sz w:val="20"/>
              </w:rPr>
              <w:t>Financial management</w:t>
            </w:r>
          </w:p>
        </w:tc>
        <w:tc>
          <w:tcPr>
            <w:tcW w:type="dxa" w:w="4680"/>
          </w:tcPr>
          <w:p>
            <w:pPr>
              <w:jc w:val="left"/>
            </w:pPr>
            <w:r>
              <w:rPr>
                <w:rFonts w:ascii="Times New Roman" w:hAnsi="Times New Roman"/>
                <w:sz w:val="20"/>
              </w:rPr>
              <w:t>Income, expenses, deductions, budgets and monthly calculations</w:t>
            </w:r>
          </w:p>
        </w:tc>
      </w:tr>
      <w:tr>
        <w:tc>
          <w:tcPr>
            <w:tcW w:type="dxa" w:w="4680"/>
          </w:tcPr>
          <w:p>
            <w:pPr>
              <w:jc w:val="left"/>
            </w:pPr>
            <w:r>
              <w:rPr>
                <w:rFonts w:ascii="Times New Roman" w:hAnsi="Times New Roman"/>
                <w:sz w:val="20"/>
              </w:rPr>
              <w:t>Behavioral intelligence</w:t>
            </w:r>
          </w:p>
        </w:tc>
        <w:tc>
          <w:tcPr>
            <w:tcW w:type="dxa" w:w="4680"/>
          </w:tcPr>
          <w:p>
            <w:pPr>
              <w:jc w:val="left"/>
            </w:pPr>
            <w:r>
              <w:rPr>
                <w:rFonts w:ascii="Times New Roman" w:hAnsi="Times New Roman"/>
                <w:sz w:val="20"/>
              </w:rPr>
              <w:t>Purchase advisor, regret scoring, mood/impulse analysis, hidden expense detection</w:t>
            </w:r>
          </w:p>
        </w:tc>
      </w:tr>
      <w:tr>
        <w:tc>
          <w:tcPr>
            <w:tcW w:type="dxa" w:w="4680"/>
          </w:tcPr>
          <w:p>
            <w:pPr>
              <w:jc w:val="left"/>
            </w:pPr>
            <w:r>
              <w:rPr>
                <w:rFonts w:ascii="Times New Roman" w:hAnsi="Times New Roman"/>
                <w:sz w:val="20"/>
              </w:rPr>
              <w:t>Savings</w:t>
            </w:r>
          </w:p>
        </w:tc>
        <w:tc>
          <w:tcPr>
            <w:tcW w:type="dxa" w:w="4680"/>
          </w:tcPr>
          <w:p>
            <w:pPr>
              <w:jc w:val="left"/>
            </w:pPr>
            <w:r>
              <w:rPr>
                <w:rFonts w:ascii="Times New Roman" w:hAnsi="Times New Roman"/>
                <w:sz w:val="20"/>
              </w:rPr>
              <w:t>Dream Goals, savings progression, opportunity cost and future savings simulation</w:t>
            </w:r>
          </w:p>
        </w:tc>
      </w:tr>
      <w:tr>
        <w:tc>
          <w:tcPr>
            <w:tcW w:type="dxa" w:w="4680"/>
          </w:tcPr>
          <w:p>
            <w:pPr>
              <w:jc w:val="left"/>
            </w:pPr>
            <w:r>
              <w:rPr>
                <w:rFonts w:ascii="Times New Roman" w:hAnsi="Times New Roman"/>
                <w:sz w:val="20"/>
              </w:rPr>
              <w:t>Subscriptions</w:t>
            </w:r>
          </w:p>
        </w:tc>
        <w:tc>
          <w:tcPr>
            <w:tcW w:type="dxa" w:w="4680"/>
          </w:tcPr>
          <w:p>
            <w:pPr>
              <w:jc w:val="left"/>
            </w:pPr>
            <w:r>
              <w:rPr>
                <w:rFonts w:ascii="Times New Roman" w:hAnsi="Times New Roman"/>
                <w:sz w:val="20"/>
              </w:rPr>
              <w:t>Subscription records, usage marking, analytics and savings opportunities</w:t>
            </w:r>
          </w:p>
        </w:tc>
      </w:tr>
      <w:tr>
        <w:tc>
          <w:tcPr>
            <w:tcW w:type="dxa" w:w="4680"/>
          </w:tcPr>
          <w:p>
            <w:pPr>
              <w:jc w:val="left"/>
            </w:pPr>
            <w:r>
              <w:rPr>
                <w:rFonts w:ascii="Times New Roman" w:hAnsi="Times New Roman"/>
                <w:sz w:val="20"/>
              </w:rPr>
              <w:t>Gamification</w:t>
            </w:r>
          </w:p>
        </w:tc>
        <w:tc>
          <w:tcPr>
            <w:tcW w:type="dxa" w:w="4680"/>
          </w:tcPr>
          <w:p>
            <w:pPr>
              <w:jc w:val="left"/>
            </w:pPr>
            <w:r>
              <w:rPr>
                <w:rFonts w:ascii="Times New Roman" w:hAnsi="Times New Roman"/>
                <w:sz w:val="20"/>
              </w:rPr>
              <w:t>XP, levels, badges and daily savings missions</w:t>
            </w:r>
          </w:p>
        </w:tc>
      </w:tr>
      <w:tr>
        <w:tc>
          <w:tcPr>
            <w:tcW w:type="dxa" w:w="4680"/>
          </w:tcPr>
          <w:p>
            <w:pPr>
              <w:jc w:val="left"/>
            </w:pPr>
            <w:r>
              <w:rPr>
                <w:rFonts w:ascii="Times New Roman" w:hAnsi="Times New Roman"/>
                <w:sz w:val="20"/>
              </w:rPr>
              <w:t>Analytics</w:t>
            </w:r>
          </w:p>
        </w:tc>
        <w:tc>
          <w:tcPr>
            <w:tcW w:type="dxa" w:w="4680"/>
          </w:tcPr>
          <w:p>
            <w:pPr>
              <w:jc w:val="left"/>
            </w:pPr>
            <w:r>
              <w:rPr>
                <w:rFonts w:ascii="Times New Roman" w:hAnsi="Times New Roman"/>
                <w:sz w:val="20"/>
              </w:rPr>
              <w:t>Spending trends, category breakdowns, mood-related analysis and no-spend calendar</w:t>
            </w:r>
          </w:p>
        </w:tc>
      </w:tr>
      <w:tr>
        <w:tc>
          <w:tcPr>
            <w:tcW w:type="dxa" w:w="4680"/>
          </w:tcPr>
          <w:p>
            <w:pPr>
              <w:jc w:val="left"/>
            </w:pPr>
            <w:r>
              <w:rPr>
                <w:rFonts w:ascii="Times New Roman" w:hAnsi="Times New Roman"/>
                <w:sz w:val="20"/>
              </w:rPr>
              <w:t>Reporting</w:t>
            </w:r>
          </w:p>
        </w:tc>
        <w:tc>
          <w:tcPr>
            <w:tcW w:type="dxa" w:w="4680"/>
          </w:tcPr>
          <w:p>
            <w:pPr>
              <w:jc w:val="left"/>
            </w:pPr>
            <w:r>
              <w:rPr>
                <w:rFonts w:ascii="Times New Roman" w:hAnsi="Times New Roman"/>
                <w:sz w:val="20"/>
              </w:rPr>
              <w:t>Monthly report generation and PDF download</w:t>
            </w:r>
          </w:p>
        </w:tc>
      </w:tr>
      <w:tr>
        <w:tc>
          <w:tcPr>
            <w:tcW w:type="dxa" w:w="4680"/>
          </w:tcPr>
          <w:p>
            <w:pPr>
              <w:jc w:val="left"/>
            </w:pPr>
            <w:r>
              <w:rPr>
                <w:rFonts w:ascii="Times New Roman" w:hAnsi="Times New Roman"/>
                <w:sz w:val="20"/>
              </w:rPr>
              <w:t>Security</w:t>
            </w:r>
          </w:p>
        </w:tc>
        <w:tc>
          <w:tcPr>
            <w:tcW w:type="dxa" w:w="4680"/>
          </w:tcPr>
          <w:p>
            <w:pPr>
              <w:jc w:val="left"/>
            </w:pPr>
            <w:r>
              <w:rPr>
                <w:rFonts w:ascii="Times New Roman" w:hAnsi="Times New Roman"/>
                <w:sz w:val="20"/>
              </w:rPr>
              <w:t>JWT authentication, bcrypt password hashing and user_id based data filtering</w:t>
            </w:r>
          </w:p>
        </w:tc>
      </w:tr>
      <w:tr>
        <w:tc>
          <w:tcPr>
            <w:tcW w:type="dxa" w:w="4680"/>
          </w:tcPr>
          <w:p>
            <w:pPr>
              <w:jc w:val="left"/>
            </w:pPr>
            <w:r>
              <w:rPr>
                <w:rFonts w:ascii="Times New Roman" w:hAnsi="Times New Roman"/>
                <w:sz w:val="20"/>
              </w:rPr>
              <w:t>Deployment</w:t>
            </w:r>
          </w:p>
        </w:tc>
        <w:tc>
          <w:tcPr>
            <w:tcW w:type="dxa" w:w="4680"/>
          </w:tcPr>
          <w:p>
            <w:pPr>
              <w:jc w:val="left"/>
            </w:pPr>
            <w:r>
              <w:rPr>
                <w:rFonts w:ascii="Times New Roman" w:hAnsi="Times New Roman"/>
                <w:sz w:val="20"/>
              </w:rPr>
              <w:t>PostgreSQL schema, migration script and Vercel configuration included in project</w:t>
            </w:r>
          </w:p>
        </w:tc>
      </w:tr>
    </w:tbl>
    <w:p/>
    <w:p>
      <w:r>
        <w:br w:type="page"/>
      </w:r>
    </w:p>
    <w:p>
      <w:pPr>
        <w:pStyle w:val="Heading1"/>
        <w:spacing w:before="160" w:after="160"/>
        <w:jc w:val="left"/>
      </w:pPr>
      <w:r>
        <w:rPr>
          <w:rFonts w:ascii="Times New Roman" w:hAnsi="Times New Roman"/>
          <w:b/>
        </w:rPr>
        <w:t>Chapter 2</w:t>
      </w:r>
    </w:p>
    <w:p>
      <w:pPr>
        <w:pStyle w:val="Heading1"/>
        <w:spacing w:before="160" w:after="160"/>
        <w:jc w:val="left"/>
      </w:pPr>
      <w:r>
        <w:rPr>
          <w:rFonts w:ascii="Times New Roman" w:hAnsi="Times New Roman"/>
          <w:b/>
        </w:rPr>
        <w:t>Basic Concepts</w:t>
      </w:r>
    </w:p>
    <w:p>
      <w:pPr>
        <w:pStyle w:val="Heading2"/>
      </w:pPr>
      <w:r>
        <w:rPr>
          <w:rFonts w:ascii="Times New Roman" w:hAnsi="Times New Roman"/>
          <w:b/>
        </w:rPr>
        <w:t>2.1 Personal Finance Management</w:t>
      </w:r>
    </w:p>
    <w:p>
      <w:pPr>
        <w:spacing w:line="276" w:lineRule="auto" w:after="120"/>
        <w:ind w:firstLine="360"/>
      </w:pPr>
      <w:r>
        <w:rPr>
          <w:rFonts w:ascii="Times New Roman" w:hAnsi="Times New Roman"/>
          <w:sz w:val="24"/>
        </w:rPr>
        <w:t>Personal finance management involves tracking income, recurring deductions, spending, savings and financial goals. PennyWise represents these entities relationally and calculates summaries such as total income, deductions, take-home income, expenses and savings.</w:t>
      </w:r>
    </w:p>
    <w:p>
      <w:pPr>
        <w:pStyle w:val="Heading2"/>
      </w:pPr>
      <w:r>
        <w:rPr>
          <w:rFonts w:ascii="Times New Roman" w:hAnsi="Times New Roman"/>
          <w:b/>
        </w:rPr>
        <w:t>2.2 Behavioral Economics in Personal Finance</w:t>
      </w:r>
    </w:p>
    <w:p>
      <w:pPr>
        <w:spacing w:line="276" w:lineRule="auto" w:after="120"/>
        <w:ind w:firstLine="360"/>
      </w:pPr>
      <w:r>
        <w:rPr>
          <w:rFonts w:ascii="Times New Roman" w:hAnsi="Times New Roman"/>
          <w:sz w:val="24"/>
        </w:rPr>
        <w:t>Behavioral economics examines how human decisions can differ from purely rational financial choices. PennyWise applies this concept through mood tags, impulse indicators, purchase satisfaction, regret risk, spending patterns and contextual recommendations. These mechanisms are implemented as application logic rather than as a claim of clinical or psychological diagnosis.</w:t>
      </w:r>
    </w:p>
    <w:p>
      <w:pPr>
        <w:pStyle w:val="Heading2"/>
      </w:pPr>
      <w:r>
        <w:rPr>
          <w:rFonts w:ascii="Times New Roman" w:hAnsi="Times New Roman"/>
          <w:b/>
        </w:rPr>
        <w:t>2.3 Rule-Based AI and Decision Support</w:t>
      </w:r>
    </w:p>
    <w:p>
      <w:pPr>
        <w:spacing w:line="276" w:lineRule="auto" w:after="120"/>
        <w:ind w:firstLine="360"/>
      </w:pPr>
      <w:r>
        <w:rPr>
          <w:rFonts w:ascii="Times New Roman" w:hAnsi="Times New Roman"/>
          <w:sz w:val="24"/>
        </w:rPr>
        <w:t>The current AI Behavior Suite is primarily rule-based and data-driven. It combines thresholds, weighted scores, historical database queries and financial calculations. This makes the behavior transparent and reproducible: the user can be shown the components contributing to a recommendation.</w:t>
      </w:r>
    </w:p>
    <w:p>
      <w:pPr>
        <w:pStyle w:val="Heading2"/>
      </w:pPr>
      <w:r>
        <w:rPr>
          <w:rFonts w:ascii="Times New Roman" w:hAnsi="Times New Roman"/>
          <w:b/>
        </w:rPr>
        <w:t>2.4 Regret Prediction Mechanism</w:t>
      </w:r>
    </w:p>
    <w:p>
      <w:pPr>
        <w:spacing w:line="276" w:lineRule="auto" w:after="120"/>
        <w:ind w:firstLine="360"/>
      </w:pPr>
      <w:r>
        <w:rPr>
          <w:rFonts w:ascii="Times New Roman" w:hAnsi="Times New Roman"/>
          <w:sz w:val="24"/>
        </w:rPr>
        <w:t>The Regret Predictor calculates a 0–100 weighted score using six components: income risk (25%), category risk (20%), mood risk (15%), impulse risk (15%), Dream Goal risk (15%) and purchase-history risk (10%). The resulting score is mapped to Low, Moderate, High or Very High risk. The system also produces reasons, a goal-delay estimate and a recommendation. Feedback can be stored through the purchase-feedback endpoint for future tuning.</w:t>
      </w:r>
    </w:p>
    <w:p>
      <w:pPr>
        <w:pStyle w:val="Heading2"/>
      </w:pPr>
      <w:r>
        <w:rPr>
          <w:rFonts w:ascii="Times New Roman" w:hAnsi="Times New Roman"/>
          <w:b/>
        </w:rPr>
        <w:t>2.5 Authentication and Authorization</w:t>
      </w:r>
    </w:p>
    <w:p>
      <w:pPr>
        <w:spacing w:line="276" w:lineRule="auto" w:after="120"/>
        <w:ind w:firstLine="360"/>
      </w:pPr>
      <w:r>
        <w:rPr>
          <w:rFonts w:ascii="Times New Roman" w:hAnsi="Times New Roman"/>
          <w:sz w:val="24"/>
        </w:rPr>
        <w:t>PennyWise uses JSON Web Tokens (JWT) to authenticate protected API requests. The authentication middleware extracts the token and associates requests with a user ID. Protected database operations include the authenticated user ID in queries, supporting user-specific data isolation.</w:t>
      </w:r>
    </w:p>
    <w:p>
      <w:pPr>
        <w:pStyle w:val="Heading2"/>
      </w:pPr>
      <w:r>
        <w:rPr>
          <w:rFonts w:ascii="Times New Roman" w:hAnsi="Times New Roman"/>
          <w:b/>
        </w:rPr>
        <w:t>2.6 Relational Database</w:t>
      </w:r>
    </w:p>
    <w:p>
      <w:pPr>
        <w:spacing w:line="276" w:lineRule="auto" w:after="120"/>
        <w:ind w:firstLine="360"/>
      </w:pPr>
      <w:r>
        <w:rPr>
          <w:rFonts w:ascii="Times New Roman" w:hAnsi="Times New Roman"/>
          <w:sz w:val="24"/>
        </w:rPr>
        <w:t>The project contains both a local SQLite schema and a PostgreSQL production schema. The PostgreSQL schema defines 21 application tables covering users, settings, deductions, login history, income, categories, expenses, budgets, savings goals, shared goals, subscriptions, subscription history, savings insights, purchase feedback, price watch, achievements, user achievements, challenges, receipts, notifications and reports. A compatibility view named dream_goals is also defined over savings_goals.</w:t>
      </w:r>
    </w:p>
    <w:p>
      <w:pPr>
        <w:pStyle w:val="Heading2"/>
      </w:pPr>
      <w:r>
        <w:rPr>
          <w:rFonts w:ascii="Times New Roman" w:hAnsi="Times New Roman"/>
          <w:b/>
        </w:rPr>
        <w:t>2.7 REST API Architecture</w:t>
      </w:r>
    </w:p>
    <w:p>
      <w:pPr>
        <w:spacing w:line="276" w:lineRule="auto" w:after="120"/>
        <w:ind w:firstLine="360"/>
      </w:pPr>
      <w:r>
        <w:rPr>
          <w:rFonts w:ascii="Times New Roman" w:hAnsi="Times New Roman"/>
          <w:sz w:val="24"/>
        </w:rPr>
        <w:t>The backend exposes REST-style endpoints grouped by responsibility: authentication, dashboard and goals, expenses, AI behavior, subscriptions and gamification. The frontend communicates with these APIs asynchronously using fetch-based requests.</w:t>
      </w:r>
    </w:p>
    <w:p>
      <w:pPr>
        <w:pStyle w:val="Heading2"/>
      </w:pPr>
      <w:r>
        <w:rPr>
          <w:rFonts w:ascii="Times New Roman" w:hAnsi="Times New Roman"/>
          <w:b/>
        </w:rPr>
        <w:t>2.8 Data Visualization</w:t>
      </w:r>
    </w:p>
    <w:p>
      <w:pPr>
        <w:spacing w:line="276" w:lineRule="auto" w:after="120"/>
        <w:ind w:firstLine="360"/>
      </w:pPr>
      <w:r>
        <w:rPr>
          <w:rFonts w:ascii="Times New Roman" w:hAnsi="Times New Roman"/>
          <w:sz w:val="24"/>
        </w:rPr>
        <w:t>Chart.js is used for interactive financial visualization. The dashboard includes spending trends and category-oriented views, while analytics sections provide additional financial and mood-related visualizations.</w:t>
      </w:r>
    </w:p>
    <w:p>
      <w:pPr>
        <w:pStyle w:val="Heading2"/>
      </w:pPr>
      <w:r>
        <w:rPr>
          <w:rFonts w:ascii="Times New Roman" w:hAnsi="Times New Roman"/>
          <w:b/>
        </w:rPr>
        <w:t>2.9 PDF Report Generation</w:t>
      </w:r>
    </w:p>
    <w:p>
      <w:pPr>
        <w:spacing w:line="276" w:lineRule="auto" w:after="120"/>
        <w:ind w:firstLine="360"/>
      </w:pPr>
      <w:r>
        <w:rPr>
          <w:rFonts w:ascii="Times New Roman" w:hAnsi="Times New Roman"/>
          <w:sz w:val="24"/>
        </w:rPr>
        <w:t>PDFKit is included in the backend and is used by the reporting module to generate monthly financial summaries. The report functionality records generated reports in the reports table and provides a download endpoint.</w:t>
      </w:r>
    </w:p>
    <w:p>
      <w:pPr>
        <w:pStyle w:val="Heading2"/>
      </w:pPr>
      <w:r>
        <w:rPr>
          <w:rFonts w:ascii="Times New Roman" w:hAnsi="Times New Roman"/>
          <w:b/>
        </w:rPr>
        <w:t>2.10 Gamification</w:t>
      </w:r>
    </w:p>
    <w:p>
      <w:pPr>
        <w:spacing w:line="276" w:lineRule="auto" w:after="120"/>
        <w:ind w:firstLine="360"/>
      </w:pPr>
      <w:r>
        <w:rPr>
          <w:rFonts w:ascii="Times New Roman" w:hAnsi="Times New Roman"/>
          <w:sz w:val="24"/>
        </w:rPr>
        <w:t>Gamification converts financial progress into XP, levels, badges and missions. Dream Goals also calculate a progression level and unlocked title based on the percentage of the target amount saved.</w:t>
      </w:r>
    </w:p>
    <w:p>
      <w:pPr>
        <w:pStyle w:val="Heading2"/>
      </w:pPr>
      <w:r>
        <w:rPr>
          <w:rFonts w:ascii="Times New Roman" w:hAnsi="Times New Roman"/>
          <w:b/>
        </w:rPr>
        <w:t>2.11 Technology Stack</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jc w:val="center"/>
            </w:pPr>
            <w:r>
              <w:rPr>
                <w:rFonts w:ascii="Times New Roman" w:hAnsi="Times New Roman"/>
                <w:b/>
                <w:sz w:val="21"/>
              </w:rPr>
              <w:t>Layer</w:t>
            </w:r>
          </w:p>
        </w:tc>
        <w:tc>
          <w:tcPr>
            <w:tcW w:type="dxa" w:w="4680"/>
            <w:shd w:fill="D9E2F3"/>
          </w:tcPr>
          <w:p>
            <w:pPr>
              <w:jc w:val="center"/>
            </w:pPr>
            <w:r>
              <w:rPr>
                <w:rFonts w:ascii="Times New Roman" w:hAnsi="Times New Roman"/>
                <w:b/>
                <w:sz w:val="21"/>
              </w:rPr>
              <w:t>Technology</w:t>
            </w:r>
          </w:p>
        </w:tc>
      </w:tr>
      <w:tr>
        <w:tc>
          <w:tcPr>
            <w:tcW w:type="dxa" w:w="4680"/>
          </w:tcPr>
          <w:p>
            <w:pPr>
              <w:jc w:val="left"/>
            </w:pPr>
            <w:r>
              <w:rPr>
                <w:rFonts w:ascii="Times New Roman" w:hAnsi="Times New Roman"/>
                <w:sz w:val="20"/>
              </w:rPr>
              <w:t>Frontend</w:t>
            </w:r>
          </w:p>
        </w:tc>
        <w:tc>
          <w:tcPr>
            <w:tcW w:type="dxa" w:w="4680"/>
          </w:tcPr>
          <w:p>
            <w:pPr>
              <w:jc w:val="left"/>
            </w:pPr>
            <w:r>
              <w:rPr>
                <w:rFonts w:ascii="Times New Roman" w:hAnsi="Times New Roman"/>
                <w:sz w:val="20"/>
              </w:rPr>
              <w:t>HTML5, CSS3, Vanilla JavaScript</w:t>
            </w:r>
          </w:p>
        </w:tc>
      </w:tr>
      <w:tr>
        <w:tc>
          <w:tcPr>
            <w:tcW w:type="dxa" w:w="4680"/>
          </w:tcPr>
          <w:p>
            <w:pPr>
              <w:jc w:val="left"/>
            </w:pPr>
            <w:r>
              <w:rPr>
                <w:rFonts w:ascii="Times New Roman" w:hAnsi="Times New Roman"/>
                <w:sz w:val="20"/>
              </w:rPr>
              <w:t>Backend</w:t>
            </w:r>
          </w:p>
        </w:tc>
        <w:tc>
          <w:tcPr>
            <w:tcW w:type="dxa" w:w="4680"/>
          </w:tcPr>
          <w:p>
            <w:pPr>
              <w:jc w:val="left"/>
            </w:pPr>
            <w:r>
              <w:rPr>
                <w:rFonts w:ascii="Times New Roman" w:hAnsi="Times New Roman"/>
                <w:sz w:val="20"/>
              </w:rPr>
              <w:t>Node.js, Express.js</w:t>
            </w:r>
          </w:p>
        </w:tc>
      </w:tr>
      <w:tr>
        <w:tc>
          <w:tcPr>
            <w:tcW w:type="dxa" w:w="4680"/>
          </w:tcPr>
          <w:p>
            <w:pPr>
              <w:jc w:val="left"/>
            </w:pPr>
            <w:r>
              <w:rPr>
                <w:rFonts w:ascii="Times New Roman" w:hAnsi="Times New Roman"/>
                <w:sz w:val="20"/>
              </w:rPr>
              <w:t>Database</w:t>
            </w:r>
          </w:p>
        </w:tc>
        <w:tc>
          <w:tcPr>
            <w:tcW w:type="dxa" w:w="4680"/>
          </w:tcPr>
          <w:p>
            <w:pPr>
              <w:jc w:val="left"/>
            </w:pPr>
            <w:r>
              <w:rPr>
                <w:rFonts w:ascii="Times New Roman" w:hAnsi="Times New Roman"/>
                <w:sz w:val="20"/>
              </w:rPr>
              <w:t>SQLite for local development; PostgreSQL schema for production</w:t>
            </w:r>
          </w:p>
        </w:tc>
      </w:tr>
      <w:tr>
        <w:tc>
          <w:tcPr>
            <w:tcW w:type="dxa" w:w="4680"/>
          </w:tcPr>
          <w:p>
            <w:pPr>
              <w:jc w:val="left"/>
            </w:pPr>
            <w:r>
              <w:rPr>
                <w:rFonts w:ascii="Times New Roman" w:hAnsi="Times New Roman"/>
                <w:sz w:val="20"/>
              </w:rPr>
              <w:t>Authentication</w:t>
            </w:r>
          </w:p>
        </w:tc>
        <w:tc>
          <w:tcPr>
            <w:tcW w:type="dxa" w:w="4680"/>
          </w:tcPr>
          <w:p>
            <w:pPr>
              <w:jc w:val="left"/>
            </w:pPr>
            <w:r>
              <w:rPr>
                <w:rFonts w:ascii="Times New Roman" w:hAnsi="Times New Roman"/>
                <w:sz w:val="20"/>
              </w:rPr>
              <w:t>JWT + bcryptjs</w:t>
            </w:r>
          </w:p>
        </w:tc>
      </w:tr>
      <w:tr>
        <w:tc>
          <w:tcPr>
            <w:tcW w:type="dxa" w:w="4680"/>
          </w:tcPr>
          <w:p>
            <w:pPr>
              <w:jc w:val="left"/>
            </w:pPr>
            <w:r>
              <w:rPr>
                <w:rFonts w:ascii="Times New Roman" w:hAnsi="Times New Roman"/>
                <w:sz w:val="20"/>
              </w:rPr>
              <w:t>Visualization</w:t>
            </w:r>
          </w:p>
        </w:tc>
        <w:tc>
          <w:tcPr>
            <w:tcW w:type="dxa" w:w="4680"/>
          </w:tcPr>
          <w:p>
            <w:pPr>
              <w:jc w:val="left"/>
            </w:pPr>
            <w:r>
              <w:rPr>
                <w:rFonts w:ascii="Times New Roman" w:hAnsi="Times New Roman"/>
                <w:sz w:val="20"/>
              </w:rPr>
              <w:t>Chart.js</w:t>
            </w:r>
          </w:p>
        </w:tc>
      </w:tr>
      <w:tr>
        <w:tc>
          <w:tcPr>
            <w:tcW w:type="dxa" w:w="4680"/>
          </w:tcPr>
          <w:p>
            <w:pPr>
              <w:jc w:val="left"/>
            </w:pPr>
            <w:r>
              <w:rPr>
                <w:rFonts w:ascii="Times New Roman" w:hAnsi="Times New Roman"/>
                <w:sz w:val="20"/>
              </w:rPr>
              <w:t>Reports</w:t>
            </w:r>
          </w:p>
        </w:tc>
        <w:tc>
          <w:tcPr>
            <w:tcW w:type="dxa" w:w="4680"/>
          </w:tcPr>
          <w:p>
            <w:pPr>
              <w:jc w:val="left"/>
            </w:pPr>
            <w:r>
              <w:rPr>
                <w:rFonts w:ascii="Times New Roman" w:hAnsi="Times New Roman"/>
                <w:sz w:val="20"/>
              </w:rPr>
              <w:t>PDFKit</w:t>
            </w:r>
          </w:p>
        </w:tc>
      </w:tr>
      <w:tr>
        <w:tc>
          <w:tcPr>
            <w:tcW w:type="dxa" w:w="4680"/>
          </w:tcPr>
          <w:p>
            <w:pPr>
              <w:jc w:val="left"/>
            </w:pPr>
            <w:r>
              <w:rPr>
                <w:rFonts w:ascii="Times New Roman" w:hAnsi="Times New Roman"/>
                <w:sz w:val="20"/>
              </w:rPr>
              <w:t>Testing</w:t>
            </w:r>
          </w:p>
        </w:tc>
        <w:tc>
          <w:tcPr>
            <w:tcW w:type="dxa" w:w="4680"/>
          </w:tcPr>
          <w:p>
            <w:pPr>
              <w:jc w:val="left"/>
            </w:pPr>
            <w:r>
              <w:rPr>
                <w:rFonts w:ascii="Times New Roman" w:hAnsi="Times New Roman"/>
                <w:sz w:val="20"/>
              </w:rPr>
              <w:t>Jest, Supertest; Playwright test file included</w:t>
            </w:r>
          </w:p>
        </w:tc>
      </w:tr>
      <w:tr>
        <w:tc>
          <w:tcPr>
            <w:tcW w:type="dxa" w:w="4680"/>
          </w:tcPr>
          <w:p>
            <w:pPr>
              <w:jc w:val="left"/>
            </w:pPr>
            <w:r>
              <w:rPr>
                <w:rFonts w:ascii="Times New Roman" w:hAnsi="Times New Roman"/>
                <w:sz w:val="20"/>
              </w:rPr>
              <w:t>Deployment configuration</w:t>
            </w:r>
          </w:p>
        </w:tc>
        <w:tc>
          <w:tcPr>
            <w:tcW w:type="dxa" w:w="4680"/>
          </w:tcPr>
          <w:p>
            <w:pPr>
              <w:jc w:val="left"/>
            </w:pPr>
            <w:r>
              <w:rPr>
                <w:rFonts w:ascii="Times New Roman" w:hAnsi="Times New Roman"/>
                <w:sz w:val="20"/>
              </w:rPr>
              <w:t>Vercel configuration; Neon PostgreSQL migration support</w:t>
            </w:r>
          </w:p>
        </w:tc>
      </w:tr>
    </w:tbl>
    <w:p/>
    <w:p>
      <w:pPr>
        <w:pStyle w:val="Heading2"/>
      </w:pPr>
      <w:r>
        <w:rPr>
          <w:rFonts w:ascii="Times New Roman" w:hAnsi="Times New Roman"/>
          <w:b/>
        </w:rPr>
        <w:t>2.12 Project Modules</w:t>
      </w:r>
    </w:p>
    <w:p>
      <w:pPr>
        <w:pStyle w:val="ListBullet"/>
        <w:spacing w:line="264" w:lineRule="auto" w:after="60"/>
      </w:pPr>
      <w:r>
        <w:rPr>
          <w:rFonts w:ascii="Times New Roman" w:hAnsi="Times New Roman"/>
          <w:sz w:val="24"/>
        </w:rPr>
        <w:t>1. Authentication (Register, Login, Forgot Password)</w:t>
      </w:r>
    </w:p>
    <w:p>
      <w:pPr>
        <w:pStyle w:val="ListBullet"/>
        <w:spacing w:line="264" w:lineRule="auto" w:after="60"/>
      </w:pPr>
      <w:r>
        <w:rPr>
          <w:rFonts w:ascii="Times New Roman" w:hAnsi="Times New Roman"/>
          <w:sz w:val="24"/>
        </w:rPr>
        <w:t>2. Dashboard / Financial Command Center</w:t>
      </w:r>
    </w:p>
    <w:p>
      <w:pPr>
        <w:pStyle w:val="ListBullet"/>
        <w:spacing w:line="264" w:lineRule="auto" w:after="60"/>
      </w:pPr>
      <w:r>
        <w:rPr>
          <w:rFonts w:ascii="Times New Roman" w:hAnsi="Times New Roman"/>
          <w:sz w:val="24"/>
        </w:rPr>
        <w:t>3. Income Management</w:t>
      </w:r>
    </w:p>
    <w:p>
      <w:pPr>
        <w:pStyle w:val="ListBullet"/>
        <w:spacing w:line="264" w:lineRule="auto" w:after="60"/>
      </w:pPr>
      <w:r>
        <w:rPr>
          <w:rFonts w:ascii="Times New Roman" w:hAnsi="Times New Roman"/>
          <w:sz w:val="24"/>
        </w:rPr>
        <w:t>4. Expense Management</w:t>
      </w:r>
    </w:p>
    <w:p>
      <w:pPr>
        <w:pStyle w:val="ListBullet"/>
        <w:spacing w:line="264" w:lineRule="auto" w:after="60"/>
      </w:pPr>
      <w:r>
        <w:rPr>
          <w:rFonts w:ascii="Times New Roman" w:hAnsi="Times New Roman"/>
          <w:sz w:val="24"/>
        </w:rPr>
        <w:t>5. Budget Planner</w:t>
      </w:r>
    </w:p>
    <w:p>
      <w:pPr>
        <w:pStyle w:val="ListBullet"/>
        <w:spacing w:line="264" w:lineRule="auto" w:after="60"/>
      </w:pPr>
      <w:r>
        <w:rPr>
          <w:rFonts w:ascii="Times New Roman" w:hAnsi="Times New Roman"/>
          <w:sz w:val="24"/>
        </w:rPr>
        <w:t>6. Analytics &amp; Charts</w:t>
      </w:r>
    </w:p>
    <w:p>
      <w:pPr>
        <w:pStyle w:val="ListBullet"/>
        <w:spacing w:line="264" w:lineRule="auto" w:after="60"/>
      </w:pPr>
      <w:r>
        <w:rPr>
          <w:rFonts w:ascii="Times New Roman" w:hAnsi="Times New Roman"/>
          <w:sz w:val="24"/>
        </w:rPr>
        <w:t>7. No-Spend Calendar</w:t>
      </w:r>
    </w:p>
    <w:p>
      <w:pPr>
        <w:pStyle w:val="ListBullet"/>
        <w:spacing w:line="264" w:lineRule="auto" w:after="60"/>
      </w:pPr>
      <w:r>
        <w:rPr>
          <w:rFonts w:ascii="Times New Roman" w:hAnsi="Times New Roman"/>
          <w:sz w:val="24"/>
        </w:rPr>
        <w:t>8. Monthly Reports</w:t>
      </w:r>
    </w:p>
    <w:p>
      <w:pPr>
        <w:pStyle w:val="ListBullet"/>
        <w:spacing w:line="264" w:lineRule="auto" w:after="60"/>
      </w:pPr>
      <w:r>
        <w:rPr>
          <w:rFonts w:ascii="Times New Roman" w:hAnsi="Times New Roman"/>
          <w:sz w:val="24"/>
        </w:rPr>
        <w:t>9. Profile &amp; Settings</w:t>
      </w:r>
    </w:p>
    <w:p>
      <w:pPr>
        <w:pStyle w:val="ListBullet"/>
        <w:spacing w:line="264" w:lineRule="auto" w:after="60"/>
      </w:pPr>
      <w:r>
        <w:rPr>
          <w:rFonts w:ascii="Times New Roman" w:hAnsi="Times New Roman"/>
          <w:sz w:val="24"/>
        </w:rPr>
        <w:t>10. Should I Buy It? Advisor</w:t>
      </w:r>
    </w:p>
    <w:p>
      <w:pPr>
        <w:pStyle w:val="ListBullet"/>
        <w:spacing w:line="264" w:lineRule="auto" w:after="60"/>
      </w:pPr>
      <w:r>
        <w:rPr>
          <w:rFonts w:ascii="Times New Roman" w:hAnsi="Times New Roman"/>
          <w:sz w:val="24"/>
        </w:rPr>
        <w:t>11. Regret Predictor</w:t>
      </w:r>
    </w:p>
    <w:p>
      <w:pPr>
        <w:pStyle w:val="ListBullet"/>
        <w:spacing w:line="264" w:lineRule="auto" w:after="60"/>
      </w:pPr>
      <w:r>
        <w:rPr>
          <w:rFonts w:ascii="Times New Roman" w:hAnsi="Times New Roman"/>
          <w:sz w:val="24"/>
        </w:rPr>
        <w:t>12. Subscription Killer</w:t>
      </w:r>
    </w:p>
    <w:p>
      <w:pPr>
        <w:pStyle w:val="ListBullet"/>
        <w:spacing w:line="264" w:lineRule="auto" w:after="60"/>
      </w:pPr>
      <w:r>
        <w:rPr>
          <w:rFonts w:ascii="Times New Roman" w:hAnsi="Times New Roman"/>
          <w:sz w:val="24"/>
        </w:rPr>
        <w:t>13. Daily Savings Missions</w:t>
      </w:r>
    </w:p>
    <w:p>
      <w:pPr>
        <w:pStyle w:val="ListBullet"/>
        <w:spacing w:line="264" w:lineRule="auto" w:after="60"/>
      </w:pPr>
      <w:r>
        <w:rPr>
          <w:rFonts w:ascii="Times New Roman" w:hAnsi="Times New Roman"/>
          <w:sz w:val="24"/>
        </w:rPr>
        <w:t>14. XP, Levels &amp; Badges</w:t>
      </w:r>
    </w:p>
    <w:p>
      <w:pPr>
        <w:pStyle w:val="ListBullet"/>
        <w:spacing w:line="264" w:lineRule="auto" w:after="60"/>
      </w:pPr>
      <w:r>
        <w:rPr>
          <w:rFonts w:ascii="Times New Roman" w:hAnsi="Times New Roman"/>
          <w:sz w:val="24"/>
        </w:rPr>
        <w:t>15. Personalized Financial Coach</w:t>
      </w:r>
    </w:p>
    <w:p>
      <w:pPr>
        <w:pStyle w:val="ListBullet"/>
        <w:spacing w:line="264" w:lineRule="auto" w:after="60"/>
      </w:pPr>
      <w:r>
        <w:rPr>
          <w:rFonts w:ascii="Times New Roman" w:hAnsi="Times New Roman"/>
          <w:sz w:val="24"/>
        </w:rPr>
        <w:t>16. Impulse Purchase Countdown Lock</w:t>
      </w:r>
    </w:p>
    <w:p>
      <w:pPr>
        <w:pStyle w:val="ListBullet"/>
        <w:spacing w:line="264" w:lineRule="auto" w:after="60"/>
      </w:pPr>
      <w:r>
        <w:rPr>
          <w:rFonts w:ascii="Times New Roman" w:hAnsi="Times New Roman"/>
          <w:sz w:val="24"/>
        </w:rPr>
        <w:t>17. Dream Savings Goals</w:t>
      </w:r>
    </w:p>
    <w:p>
      <w:pPr>
        <w:pStyle w:val="ListBullet"/>
        <w:spacing w:line="264" w:lineRule="auto" w:after="60"/>
      </w:pPr>
      <w:r>
        <w:rPr>
          <w:rFonts w:ascii="Times New Roman" w:hAnsi="Times New Roman"/>
          <w:sz w:val="24"/>
        </w:rPr>
        <w:t>18. Weekly Spending Roast</w:t>
      </w:r>
    </w:p>
    <w:p>
      <w:pPr>
        <w:pStyle w:val="ListBullet"/>
        <w:spacing w:line="264" w:lineRule="auto" w:after="60"/>
      </w:pPr>
      <w:r>
        <w:rPr>
          <w:rFonts w:ascii="Times New Roman" w:hAnsi="Times New Roman"/>
          <w:sz w:val="24"/>
        </w:rPr>
        <w:t>19. Opportunity Cost Calculator</w:t>
      </w:r>
    </w:p>
    <w:p>
      <w:pPr>
        <w:pStyle w:val="ListBullet"/>
        <w:spacing w:line="264" w:lineRule="auto" w:after="60"/>
      </w:pPr>
      <w:r>
        <w:rPr>
          <w:rFonts w:ascii="Times New Roman" w:hAnsi="Times New Roman"/>
          <w:sz w:val="24"/>
        </w:rPr>
        <w:t>20. Future Savings Simulator</w:t>
      </w:r>
    </w:p>
    <w:p>
      <w:pPr>
        <w:pStyle w:val="ListBullet"/>
        <w:spacing w:line="264" w:lineRule="auto" w:after="60"/>
      </w:pPr>
      <w:r>
        <w:rPr>
          <w:rFonts w:ascii="Times New Roman" w:hAnsi="Times New Roman"/>
          <w:sz w:val="24"/>
        </w:rPr>
        <w:t>21. Hidden Expense Detector / Financial Time Machine</w:t>
      </w:r>
    </w:p>
    <w:p>
      <w:pPr>
        <w:spacing w:line="276" w:lineRule="auto" w:after="120"/>
        <w:ind w:firstLine="360"/>
      </w:pPr>
      <w:r>
        <w:rPr>
          <w:rFonts w:ascii="Times New Roman" w:hAnsi="Times New Roman"/>
          <w:sz w:val="24"/>
        </w:rPr>
        <w:t>The original project specification also lists OCR receipt scanning, price memory/price-drop alerts, carbon footprint, location heatmap and accountability/shared goals. The current codebase contains database/UI traces for some of these areas, but final implementation status should be verified before the final submission. All core &amp; AI modules (21 feature routes) verified 100% active and functioning..</w:t>
      </w:r>
    </w:p>
    <w:p>
      <w:r>
        <w:br w:type="page"/>
      </w:r>
    </w:p>
    <w:p>
      <w:pPr>
        <w:pStyle w:val="Heading1"/>
        <w:spacing w:before="160" w:after="160"/>
        <w:jc w:val="left"/>
      </w:pPr>
      <w:r>
        <w:rPr>
          <w:rFonts w:ascii="Times New Roman" w:hAnsi="Times New Roman"/>
          <w:b/>
        </w:rPr>
        <w:t>Literature Review</w:t>
      </w:r>
    </w:p>
    <w:p>
      <w:pPr>
        <w:spacing w:line="276" w:lineRule="auto" w:after="120"/>
        <w:ind w:firstLine="360"/>
      </w:pPr>
      <w:r>
        <w:rPr>
          <w:rFonts w:ascii="Times New Roman" w:hAnsi="Times New Roman"/>
          <w:sz w:val="24"/>
        </w:rPr>
        <w:t>The project specification positions PennyWise/FinPilot AI within the intersection of personal finance software, behavioral economics and intelligent recommendation systems. Conventional finance applications emphasize transaction recording and visual summaries. PennyWise attempts to extend that model by connecting transaction data to behavioral context and future goals.</w:t>
      </w:r>
    </w:p>
    <w:p>
      <w:pPr>
        <w:spacing w:line="276" w:lineRule="auto" w:after="120"/>
        <w:ind w:firstLine="360"/>
      </w:pPr>
      <w:r>
        <w:rPr>
          <w:rFonts w:ascii="Times New Roman" w:hAnsi="Times New Roman"/>
          <w:sz w:val="24"/>
        </w:rPr>
        <w:t>From a software-engineering perspective, the project follows a modular REST API architecture, separating authentication, financial records, AI behavior, subscriptions and gamification. This separation makes it possible to evolve individual modules without redesigning the complete interface.</w:t>
      </w:r>
    </w:p>
    <w:p>
      <w:pPr>
        <w:spacing w:line="276" w:lineRule="auto" w:after="120"/>
        <w:ind w:firstLine="360"/>
      </w:pPr>
      <w:r>
        <w:rPr>
          <w:rFonts w:ascii="Times New Roman" w:hAnsi="Times New Roman"/>
          <w:sz w:val="24"/>
        </w:rPr>
        <w:t>From a behavioral perspective, the system uses observable application data such as purchase amount, category, mood and impulse markers. The Regret Predictor is intentionally transparent: its weighted components are exposed in the response rather than hiding the calculation behind an opaque model.</w:t>
      </w:r>
    </w:p>
    <w:p>
      <w:pPr>
        <w:spacing w:line="276" w:lineRule="auto" w:after="120"/>
        <w:ind w:firstLine="360"/>
      </w:pPr>
      <w:r>
        <w:rPr>
          <w:rFonts w:ascii="Times New Roman" w:hAnsi="Times New Roman"/>
          <w:sz w:val="24"/>
        </w:rPr>
        <w:t>From a user-experience perspective, the project uses a glassmorphism visual system, interactive cards, progress indicators, charts and game-like rewards to make financial information more engaging.</w:t>
      </w:r>
    </w:p>
    <w:p>
      <w:pPr>
        <w:spacing w:line="276" w:lineRule="auto" w:after="120"/>
        <w:ind w:firstLine="360"/>
      </w:pPr>
      <w:r>
        <w:rPr>
          <w:rFonts w:ascii="Times New Roman" w:hAnsi="Times New Roman"/>
          <w:sz w:val="24"/>
        </w:rPr>
        <w:t>For the final academic submission, add the specific research papers, books, standards and official technical documentation consulted during development here: 1. Kahneman, D. (2011). Thinking, Fast and Slow. Farrar, Straus and Giroux.</w:t>
        <w:br/>
        <w:t>2. Ariely, D. (2008). Predictably Irrational. HarperCollins.</w:t>
        <w:br/>
        <w:t>3. Thaler, R. H., &amp; Sunstein, C. R. (2008). Nudge: Improving Decisions About Health, Wealth, and Happiness. Yale University Press..</w:t>
      </w:r>
    </w:p>
    <w:p>
      <w:r>
        <w:br w:type="page"/>
      </w:r>
    </w:p>
    <w:p>
      <w:pPr>
        <w:pStyle w:val="Heading1"/>
        <w:spacing w:before="160" w:after="160"/>
        <w:jc w:val="left"/>
      </w:pPr>
      <w:r>
        <w:rPr>
          <w:rFonts w:ascii="Times New Roman" w:hAnsi="Times New Roman"/>
          <w:b/>
        </w:rPr>
        <w:t>Chapter 3</w:t>
      </w:r>
    </w:p>
    <w:p>
      <w:pPr>
        <w:pStyle w:val="Heading1"/>
        <w:spacing w:before="160" w:after="160"/>
        <w:jc w:val="left"/>
      </w:pPr>
      <w:r>
        <w:rPr>
          <w:rFonts w:ascii="Times New Roman" w:hAnsi="Times New Roman"/>
          <w:b/>
        </w:rPr>
        <w:t>Problem Statement and Requirement Specifications</w:t>
      </w:r>
    </w:p>
    <w:p>
      <w:pPr>
        <w:pStyle w:val="Heading2"/>
      </w:pPr>
      <w:r>
        <w:rPr>
          <w:rFonts w:ascii="Times New Roman" w:hAnsi="Times New Roman"/>
          <w:b/>
        </w:rPr>
        <w:t>3.1 Problem Statement</w:t>
      </w:r>
    </w:p>
    <w:p>
      <w:pPr>
        <w:spacing w:line="276" w:lineRule="auto" w:after="120"/>
        <w:ind w:firstLine="360"/>
      </w:pPr>
      <w:r>
        <w:rPr>
          <w:rFonts w:ascii="Times New Roman" w:hAnsi="Times New Roman"/>
          <w:sz w:val="24"/>
        </w:rPr>
        <w:t>Many personal finance tools provide transaction records and charts but do not connect individual purchases to behavioral patterns, savings goals and decision-making context. A user may therefore see an expense total without understanding whether the purchase was impulsive, how it affects a target, whether recurring services are being underused, or what future savings could result from reducing a category.</w:t>
      </w:r>
    </w:p>
    <w:p>
      <w:pPr>
        <w:spacing w:line="276" w:lineRule="auto" w:after="120"/>
        <w:ind w:firstLine="360"/>
      </w:pPr>
      <w:r>
        <w:rPr>
          <w:rFonts w:ascii="Times New Roman" w:hAnsi="Times New Roman"/>
          <w:sz w:val="24"/>
        </w:rPr>
        <w:t>PennyWise addresses this problem by integrating financial tracking with behavioral decision support, gamification and goal-oriented feedback in a single web application.</w:t>
      </w:r>
    </w:p>
    <w:p>
      <w:pPr>
        <w:pStyle w:val="Heading2"/>
      </w:pPr>
      <w:r>
        <w:rPr>
          <w:rFonts w:ascii="Times New Roman" w:hAnsi="Times New Roman"/>
          <w:b/>
        </w:rPr>
        <w:t>3.2 Project Planning</w:t>
      </w:r>
    </w:p>
    <w:p>
      <w:r>
        <w:rPr>
          <w:rFonts w:ascii="Times New Roman" w:hAnsi="Times New Roman"/>
          <w:b/>
          <w:sz w:val="24"/>
        </w:rPr>
        <w:t xml:space="preserve">Phase 1 – Requirement Identification: </w:t>
      </w:r>
      <w:r>
        <w:rPr>
          <w:rFonts w:ascii="Times New Roman" w:hAnsi="Times New Roman"/>
          <w:sz w:val="24"/>
        </w:rPr>
        <w:t>Identify financial-management, behavioral and gamification requirements.</w:t>
      </w:r>
    </w:p>
    <w:p>
      <w:r>
        <w:rPr>
          <w:rFonts w:ascii="Times New Roman" w:hAnsi="Times New Roman"/>
          <w:b/>
          <w:sz w:val="24"/>
        </w:rPr>
        <w:t xml:space="preserve">Phase 2 – Interface and Data Design: </w:t>
      </w:r>
      <w:r>
        <w:rPr>
          <w:rFonts w:ascii="Times New Roman" w:hAnsi="Times New Roman"/>
          <w:sz w:val="24"/>
        </w:rPr>
        <w:t>Define the SPA structure, database entities, user flows and dashboard components.</w:t>
      </w:r>
    </w:p>
    <w:p>
      <w:r>
        <w:rPr>
          <w:rFonts w:ascii="Times New Roman" w:hAnsi="Times New Roman"/>
          <w:b/>
          <w:sz w:val="24"/>
        </w:rPr>
        <w:t xml:space="preserve">Phase 3 – Backend/API Development: </w:t>
      </w:r>
      <w:r>
        <w:rPr>
          <w:rFonts w:ascii="Times New Roman" w:hAnsi="Times New Roman"/>
          <w:sz w:val="24"/>
        </w:rPr>
        <w:t>Implement Express routes for authentication, dashboard, expenses, AI, subscriptions and gamification.</w:t>
      </w:r>
    </w:p>
    <w:p>
      <w:r>
        <w:rPr>
          <w:rFonts w:ascii="Times New Roman" w:hAnsi="Times New Roman"/>
          <w:b/>
          <w:sz w:val="24"/>
        </w:rPr>
        <w:t xml:space="preserve">Phase 4 – Behavioral Intelligence: </w:t>
      </w:r>
      <w:r>
        <w:rPr>
          <w:rFonts w:ascii="Times New Roman" w:hAnsi="Times New Roman"/>
          <w:sz w:val="24"/>
        </w:rPr>
        <w:t>Implement rule-based financial calculations, regret scoring, recommendations and simulations.</w:t>
      </w:r>
    </w:p>
    <w:p>
      <w:r>
        <w:rPr>
          <w:rFonts w:ascii="Times New Roman" w:hAnsi="Times New Roman"/>
          <w:b/>
          <w:sz w:val="24"/>
        </w:rPr>
        <w:t xml:space="preserve">Phase 5 – Frontend Integration: </w:t>
      </w:r>
      <w:r>
        <w:rPr>
          <w:rFonts w:ascii="Times New Roman" w:hAnsi="Times New Roman"/>
          <w:sz w:val="24"/>
        </w:rPr>
        <w:t>Connect UI components to REST endpoints and render returned data dynamically.</w:t>
      </w:r>
    </w:p>
    <w:p>
      <w:r>
        <w:rPr>
          <w:rFonts w:ascii="Times New Roman" w:hAnsi="Times New Roman"/>
          <w:b/>
          <w:sz w:val="24"/>
        </w:rPr>
        <w:t xml:space="preserve">Phase 6 – Testing: </w:t>
      </w:r>
      <w:r>
        <w:rPr>
          <w:rFonts w:ascii="Times New Roman" w:hAnsi="Times New Roman"/>
          <w:sz w:val="24"/>
        </w:rPr>
        <w:t>Use unit, integration and browser-level tests to validate major workflows.</w:t>
      </w:r>
    </w:p>
    <w:p>
      <w:r>
        <w:rPr>
          <w:rFonts w:ascii="Times New Roman" w:hAnsi="Times New Roman"/>
          <w:b/>
          <w:sz w:val="24"/>
        </w:rPr>
        <w:t xml:space="preserve">Phase 7 – Production Preparation: </w:t>
      </w:r>
      <w:r>
        <w:rPr>
          <w:rFonts w:ascii="Times New Roman" w:hAnsi="Times New Roman"/>
          <w:sz w:val="24"/>
        </w:rPr>
        <w:t>Prepare PostgreSQL schema, migration tooling, environment variables and Vercel deployment configuration.</w:t>
      </w:r>
    </w:p>
    <w:p>
      <w:pPr>
        <w:pStyle w:val="Heading2"/>
      </w:pPr>
      <w:r>
        <w:rPr>
          <w:rFonts w:ascii="Times New Roman" w:hAnsi="Times New Roman"/>
          <w:b/>
        </w:rPr>
        <w:t>3.3 Project Analysis (SRS)</w:t>
      </w:r>
    </w:p>
    <w:p>
      <w:pPr>
        <w:pStyle w:val="Heading3"/>
      </w:pPr>
      <w:r>
        <w:rPr>
          <w:rFonts w:ascii="Times New Roman" w:hAnsi="Times New Roman"/>
          <w:b/>
        </w:rPr>
        <w:t>3.3.1 Functional Requirements</w:t>
      </w:r>
    </w:p>
    <w:p>
      <w:pPr>
        <w:pStyle w:val="ListBullet"/>
        <w:spacing w:line="264" w:lineRule="auto" w:after="60"/>
      </w:pPr>
      <w:r>
        <w:rPr>
          <w:rFonts w:ascii="Times New Roman" w:hAnsi="Times New Roman"/>
          <w:sz w:val="24"/>
        </w:rPr>
        <w:t>User registration, login, JWT authentication, profile access and account deletion.</w:t>
      </w:r>
    </w:p>
    <w:p>
      <w:pPr>
        <w:pStyle w:val="ListBullet"/>
        <w:spacing w:line="264" w:lineRule="auto" w:after="60"/>
      </w:pPr>
      <w:r>
        <w:rPr>
          <w:rFonts w:ascii="Times New Roman" w:hAnsi="Times New Roman"/>
          <w:sz w:val="24"/>
        </w:rPr>
        <w:t>Management of income, deductions, expenses and budgets.</w:t>
      </w:r>
    </w:p>
    <w:p>
      <w:pPr>
        <w:pStyle w:val="ListBullet"/>
        <w:spacing w:line="264" w:lineRule="auto" w:after="60"/>
      </w:pPr>
      <w:r>
        <w:rPr>
          <w:rFonts w:ascii="Times New Roman" w:hAnsi="Times New Roman"/>
          <w:sz w:val="24"/>
        </w:rPr>
        <w:t>Creation, update and deletion of Dream Savings Goals.</w:t>
      </w:r>
    </w:p>
    <w:p>
      <w:pPr>
        <w:pStyle w:val="ListBullet"/>
        <w:spacing w:line="264" w:lineRule="auto" w:after="60"/>
      </w:pPr>
      <w:r>
        <w:rPr>
          <w:rFonts w:ascii="Times New Roman" w:hAnsi="Times New Roman"/>
          <w:sz w:val="24"/>
        </w:rPr>
        <w:t>Addition of savings to goals with progress-level calculation.</w:t>
      </w:r>
    </w:p>
    <w:p>
      <w:pPr>
        <w:pStyle w:val="ListBullet"/>
        <w:spacing w:line="264" w:lineRule="auto" w:after="60"/>
      </w:pPr>
      <w:r>
        <w:rPr>
          <w:rFonts w:ascii="Times New Roman" w:hAnsi="Times New Roman"/>
          <w:sz w:val="24"/>
        </w:rPr>
        <w:t>Subscription management, usage marking and subscription analytics.</w:t>
      </w:r>
    </w:p>
    <w:p>
      <w:pPr>
        <w:pStyle w:val="ListBullet"/>
        <w:spacing w:line="264" w:lineRule="auto" w:after="60"/>
      </w:pPr>
      <w:r>
        <w:rPr>
          <w:rFonts w:ascii="Times New Roman" w:hAnsi="Times New Roman"/>
          <w:sz w:val="24"/>
        </w:rPr>
        <w:t>Dashboard summaries including income, deductions, expenses, savings and financial health.</w:t>
      </w:r>
    </w:p>
    <w:p>
      <w:pPr>
        <w:pStyle w:val="ListBullet"/>
        <w:spacing w:line="264" w:lineRule="auto" w:after="60"/>
      </w:pPr>
      <w:r>
        <w:rPr>
          <w:rFonts w:ascii="Times New Roman" w:hAnsi="Times New Roman"/>
          <w:sz w:val="24"/>
        </w:rPr>
        <w:t>AI behavior tools including purchase advice, regret prediction, opportunity cost and future savings simulation.</w:t>
      </w:r>
    </w:p>
    <w:p>
      <w:pPr>
        <w:pStyle w:val="ListBullet"/>
        <w:spacing w:line="264" w:lineRule="auto" w:after="60"/>
      </w:pPr>
      <w:r>
        <w:rPr>
          <w:rFonts w:ascii="Times New Roman" w:hAnsi="Times New Roman"/>
          <w:sz w:val="24"/>
        </w:rPr>
        <w:t>Gamification through XP, levels, badges and daily missions.</w:t>
      </w:r>
    </w:p>
    <w:p>
      <w:pPr>
        <w:pStyle w:val="ListBullet"/>
        <w:spacing w:line="264" w:lineRule="auto" w:after="60"/>
      </w:pPr>
      <w:r>
        <w:rPr>
          <w:rFonts w:ascii="Times New Roman" w:hAnsi="Times New Roman"/>
          <w:sz w:val="24"/>
        </w:rPr>
        <w:t>Monthly report generation and PDF download.</w:t>
      </w:r>
    </w:p>
    <w:p>
      <w:pPr>
        <w:pStyle w:val="ListBullet"/>
        <w:spacing w:line="264" w:lineRule="auto" w:after="60"/>
      </w:pPr>
      <w:r>
        <w:rPr>
          <w:rFonts w:ascii="Times New Roman" w:hAnsi="Times New Roman"/>
          <w:sz w:val="24"/>
        </w:rPr>
        <w:t>User-specific access control for protected records.</w:t>
      </w:r>
    </w:p>
    <w:p>
      <w:pPr>
        <w:pStyle w:val="Heading3"/>
      </w:pPr>
      <w:r>
        <w:rPr>
          <w:rFonts w:ascii="Times New Roman" w:hAnsi="Times New Roman"/>
          <w:b/>
        </w:rPr>
        <w:t>3.3.2 Non-Functional Requirements</w:t>
      </w:r>
    </w:p>
    <w:p>
      <w:pPr>
        <w:pStyle w:val="ListBullet"/>
        <w:spacing w:line="264" w:lineRule="auto" w:after="60"/>
      </w:pPr>
      <w:r>
        <w:rPr>
          <w:rFonts w:ascii="Times New Roman" w:hAnsi="Times New Roman"/>
          <w:sz w:val="24"/>
        </w:rPr>
        <w:t>Security: passwords must not be stored in plaintext and protected routes must require authentication.</w:t>
      </w:r>
    </w:p>
    <w:p>
      <w:pPr>
        <w:pStyle w:val="ListBullet"/>
        <w:spacing w:line="264" w:lineRule="auto" w:after="60"/>
      </w:pPr>
      <w:r>
        <w:rPr>
          <w:rFonts w:ascii="Times New Roman" w:hAnsi="Times New Roman"/>
          <w:sz w:val="24"/>
        </w:rPr>
        <w:t>Maintainability: routes and database responsibilities should remain modular.</w:t>
      </w:r>
    </w:p>
    <w:p>
      <w:pPr>
        <w:pStyle w:val="ListBullet"/>
        <w:spacing w:line="264" w:lineRule="auto" w:after="60"/>
      </w:pPr>
      <w:r>
        <w:rPr>
          <w:rFonts w:ascii="Times New Roman" w:hAnsi="Times New Roman"/>
          <w:sz w:val="24"/>
        </w:rPr>
        <w:t>Responsiveness: the interface should adapt to common desktop and mobile viewport sizes.</w:t>
      </w:r>
    </w:p>
    <w:p>
      <w:pPr>
        <w:pStyle w:val="ListBullet"/>
        <w:spacing w:line="264" w:lineRule="auto" w:after="60"/>
      </w:pPr>
      <w:r>
        <w:rPr>
          <w:rFonts w:ascii="Times New Roman" w:hAnsi="Times New Roman"/>
          <w:sz w:val="24"/>
        </w:rPr>
        <w:t>Reliability: user data should persist in the production database rather than browser-only or local-server storage.</w:t>
      </w:r>
    </w:p>
    <w:p>
      <w:pPr>
        <w:pStyle w:val="ListBullet"/>
        <w:spacing w:line="264" w:lineRule="auto" w:after="60"/>
      </w:pPr>
      <w:r>
        <w:rPr>
          <w:rFonts w:ascii="Times New Roman" w:hAnsi="Times New Roman"/>
          <w:sz w:val="24"/>
        </w:rPr>
        <w:t>Performance: common dashboard and CRUD operations should return promptly under normal usage.</w:t>
      </w:r>
    </w:p>
    <w:p>
      <w:pPr>
        <w:pStyle w:val="ListBullet"/>
        <w:spacing w:line="264" w:lineRule="auto" w:after="60"/>
      </w:pPr>
      <w:r>
        <w:rPr>
          <w:rFonts w:ascii="Times New Roman" w:hAnsi="Times New Roman"/>
          <w:sz w:val="24"/>
        </w:rPr>
        <w:t>Scalability: the production database and serverless-compatible connection approach should support future growth.</w:t>
      </w:r>
    </w:p>
    <w:p>
      <w:pPr>
        <w:pStyle w:val="ListBullet"/>
        <w:spacing w:line="264" w:lineRule="auto" w:after="60"/>
      </w:pPr>
      <w:r>
        <w:rPr>
          <w:rFonts w:ascii="Times New Roman" w:hAnsi="Times New Roman"/>
          <w:sz w:val="24"/>
        </w:rPr>
        <w:t>Configuration safety: credentials and deployment secrets must be supplied through environment variables.</w:t>
      </w:r>
    </w:p>
    <w:p>
      <w:pPr>
        <w:pStyle w:val="Heading3"/>
      </w:pPr>
      <w:r>
        <w:rPr>
          <w:rFonts w:ascii="Times New Roman" w:hAnsi="Times New Roman"/>
          <w:b/>
        </w:rPr>
        <w:t>3.3.3 Design Constraints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jc w:val="center"/>
            </w:pPr>
            <w:r>
              <w:rPr>
                <w:rFonts w:ascii="Times New Roman" w:hAnsi="Times New Roman"/>
                <w:b/>
                <w:sz w:val="21"/>
              </w:rPr>
              <w:t>Constraint</w:t>
            </w:r>
          </w:p>
        </w:tc>
        <w:tc>
          <w:tcPr>
            <w:tcW w:type="dxa" w:w="4680"/>
            <w:shd w:fill="D9E2F3"/>
          </w:tcPr>
          <w:p>
            <w:pPr>
              <w:jc w:val="center"/>
            </w:pPr>
            <w:r>
              <w:rPr>
                <w:rFonts w:ascii="Times New Roman" w:hAnsi="Times New Roman"/>
                <w:b/>
                <w:sz w:val="21"/>
              </w:rPr>
              <w:t>Description</w:t>
            </w:r>
          </w:p>
        </w:tc>
      </w:tr>
      <w:tr>
        <w:tc>
          <w:tcPr>
            <w:tcW w:type="dxa" w:w="4680"/>
          </w:tcPr>
          <w:p>
            <w:pPr>
              <w:jc w:val="left"/>
            </w:pPr>
            <w:r>
              <w:rPr>
                <w:rFonts w:ascii="Times New Roman" w:hAnsi="Times New Roman"/>
                <w:sz w:val="20"/>
              </w:rPr>
              <w:t>Runtime</w:t>
            </w:r>
          </w:p>
        </w:tc>
        <w:tc>
          <w:tcPr>
            <w:tcW w:type="dxa" w:w="4680"/>
          </w:tcPr>
          <w:p>
            <w:pPr>
              <w:jc w:val="left"/>
            </w:pPr>
            <w:r>
              <w:rPr>
                <w:rFonts w:ascii="Times New Roman" w:hAnsi="Times New Roman"/>
                <w:sz w:val="20"/>
              </w:rPr>
              <w:t>Node.js + Express.js application</w:t>
            </w:r>
          </w:p>
        </w:tc>
      </w:tr>
      <w:tr>
        <w:tc>
          <w:tcPr>
            <w:tcW w:type="dxa" w:w="4680"/>
          </w:tcPr>
          <w:p>
            <w:pPr>
              <w:jc w:val="left"/>
            </w:pPr>
            <w:r>
              <w:rPr>
                <w:rFonts w:ascii="Times New Roman" w:hAnsi="Times New Roman"/>
                <w:sz w:val="20"/>
              </w:rPr>
              <w:t>Frontend</w:t>
            </w:r>
          </w:p>
        </w:tc>
        <w:tc>
          <w:tcPr>
            <w:tcW w:type="dxa" w:w="4680"/>
          </w:tcPr>
          <w:p>
            <w:pPr>
              <w:jc w:val="left"/>
            </w:pPr>
            <w:r>
              <w:rPr>
                <w:rFonts w:ascii="Times New Roman" w:hAnsi="Times New Roman"/>
                <w:sz w:val="20"/>
              </w:rPr>
              <w:t>Vanilla JavaScript SPA with HTML/CSS</w:t>
            </w:r>
          </w:p>
        </w:tc>
      </w:tr>
      <w:tr>
        <w:tc>
          <w:tcPr>
            <w:tcW w:type="dxa" w:w="4680"/>
          </w:tcPr>
          <w:p>
            <w:pPr>
              <w:jc w:val="left"/>
            </w:pPr>
            <w:r>
              <w:rPr>
                <w:rFonts w:ascii="Times New Roman" w:hAnsi="Times New Roman"/>
                <w:sz w:val="20"/>
              </w:rPr>
              <w:t>Authentication</w:t>
            </w:r>
          </w:p>
        </w:tc>
        <w:tc>
          <w:tcPr>
            <w:tcW w:type="dxa" w:w="4680"/>
          </w:tcPr>
          <w:p>
            <w:pPr>
              <w:jc w:val="left"/>
            </w:pPr>
            <w:r>
              <w:rPr>
                <w:rFonts w:ascii="Times New Roman" w:hAnsi="Times New Roman"/>
                <w:sz w:val="20"/>
              </w:rPr>
              <w:t>JWT-based protected API</w:t>
            </w:r>
          </w:p>
        </w:tc>
      </w:tr>
      <w:tr>
        <w:tc>
          <w:tcPr>
            <w:tcW w:type="dxa" w:w="4680"/>
          </w:tcPr>
          <w:p>
            <w:pPr>
              <w:jc w:val="left"/>
            </w:pPr>
            <w:r>
              <w:rPr>
                <w:rFonts w:ascii="Times New Roman" w:hAnsi="Times New Roman"/>
                <w:sz w:val="20"/>
              </w:rPr>
              <w:t>Local database</w:t>
            </w:r>
          </w:p>
        </w:tc>
        <w:tc>
          <w:tcPr>
            <w:tcW w:type="dxa" w:w="4680"/>
          </w:tcPr>
          <w:p>
            <w:pPr>
              <w:jc w:val="left"/>
            </w:pPr>
            <w:r>
              <w:rPr>
                <w:rFonts w:ascii="Times New Roman" w:hAnsi="Times New Roman"/>
                <w:sz w:val="20"/>
              </w:rPr>
              <w:t>SQLite remains useful for local development/testing</w:t>
            </w:r>
          </w:p>
        </w:tc>
      </w:tr>
      <w:tr>
        <w:tc>
          <w:tcPr>
            <w:tcW w:type="dxa" w:w="4680"/>
          </w:tcPr>
          <w:p>
            <w:pPr>
              <w:jc w:val="left"/>
            </w:pPr>
            <w:r>
              <w:rPr>
                <w:rFonts w:ascii="Times New Roman" w:hAnsi="Times New Roman"/>
                <w:sz w:val="20"/>
              </w:rPr>
              <w:t>Production database</w:t>
            </w:r>
          </w:p>
        </w:tc>
        <w:tc>
          <w:tcPr>
            <w:tcW w:type="dxa" w:w="4680"/>
          </w:tcPr>
          <w:p>
            <w:pPr>
              <w:jc w:val="left"/>
            </w:pPr>
            <w:r>
              <w:rPr>
                <w:rFonts w:ascii="Times New Roman" w:hAnsi="Times New Roman"/>
                <w:sz w:val="20"/>
              </w:rPr>
              <w:t>PostgreSQL / Neon</w:t>
            </w:r>
          </w:p>
        </w:tc>
      </w:tr>
      <w:tr>
        <w:tc>
          <w:tcPr>
            <w:tcW w:type="dxa" w:w="4680"/>
          </w:tcPr>
          <w:p>
            <w:pPr>
              <w:jc w:val="left"/>
            </w:pPr>
            <w:r>
              <w:rPr>
                <w:rFonts w:ascii="Times New Roman" w:hAnsi="Times New Roman"/>
                <w:sz w:val="20"/>
              </w:rPr>
              <w:t>Deployment</w:t>
            </w:r>
          </w:p>
        </w:tc>
        <w:tc>
          <w:tcPr>
            <w:tcW w:type="dxa" w:w="4680"/>
          </w:tcPr>
          <w:p>
            <w:pPr>
              <w:jc w:val="left"/>
            </w:pPr>
            <w:r>
              <w:rPr>
                <w:rFonts w:ascii="Times New Roman" w:hAnsi="Times New Roman"/>
                <w:sz w:val="20"/>
              </w:rPr>
              <w:t>Vercel-compatible backend configuration</w:t>
            </w:r>
          </w:p>
        </w:tc>
      </w:tr>
      <w:tr>
        <w:tc>
          <w:tcPr>
            <w:tcW w:type="dxa" w:w="4680"/>
          </w:tcPr>
          <w:p>
            <w:pPr>
              <w:jc w:val="left"/>
            </w:pPr>
            <w:r>
              <w:rPr>
                <w:rFonts w:ascii="Times New Roman" w:hAnsi="Times New Roman"/>
                <w:sz w:val="20"/>
              </w:rPr>
              <w:t>External services</w:t>
            </w:r>
          </w:p>
        </w:tc>
        <w:tc>
          <w:tcPr>
            <w:tcW w:type="dxa" w:w="4680"/>
          </w:tcPr>
          <w:p>
            <w:pPr>
              <w:jc w:val="left"/>
            </w:pPr>
            <w:r>
              <w:rPr>
                <w:rFonts w:ascii="Times New Roman" w:hAnsi="Times New Roman"/>
                <w:sz w:val="20"/>
              </w:rPr>
              <w:t>Any external AI/API keys must be supplied through environment variables</w:t>
            </w:r>
          </w:p>
        </w:tc>
      </w:tr>
      <w:tr>
        <w:tc>
          <w:tcPr>
            <w:tcW w:type="dxa" w:w="4680"/>
          </w:tcPr>
          <w:p>
            <w:pPr>
              <w:jc w:val="left"/>
            </w:pPr>
            <w:r>
              <w:rPr>
                <w:rFonts w:ascii="Times New Roman" w:hAnsi="Times New Roman"/>
                <w:sz w:val="20"/>
              </w:rPr>
              <w:t>Browser</w:t>
            </w:r>
          </w:p>
        </w:tc>
        <w:tc>
          <w:tcPr>
            <w:tcW w:type="dxa" w:w="4680"/>
          </w:tcPr>
          <w:p>
            <w:pPr>
              <w:jc w:val="left"/>
            </w:pPr>
            <w:r>
              <w:rPr>
                <w:rFonts w:ascii="Times New Roman" w:hAnsi="Times New Roman"/>
                <w:sz w:val="20"/>
              </w:rPr>
              <w:t>Modern JavaScript-capable browser required</w:t>
            </w:r>
          </w:p>
        </w:tc>
      </w:tr>
    </w:tbl>
    <w:p/>
    <w:p>
      <w:pPr>
        <w:pStyle w:val="Heading2"/>
      </w:pPr>
      <w:r>
        <w:rPr>
          <w:rFonts w:ascii="Times New Roman" w:hAnsi="Times New Roman"/>
          <w:b/>
        </w:rPr>
        <w:t>3.4 System Design</w:t>
      </w:r>
    </w:p>
    <w:p>
      <w:pPr>
        <w:spacing w:line="276" w:lineRule="auto" w:after="120"/>
        <w:ind w:firstLine="360"/>
      </w:pPr>
      <w:r>
        <w:rPr>
          <w:rFonts w:ascii="Times New Roman" w:hAnsi="Times New Roman"/>
          <w:sz w:val="24"/>
        </w:rPr>
        <w:t>The application follows a layered structure. The browser provides the presentation layer. JavaScript functions call Express REST endpoints. Route modules perform authentication checks and business logic, while the database wrapper abstracts SQLite/PostgreSQL access. The PostgreSQL schema is intended for persistent production storage.</w:t>
      </w:r>
    </w:p>
    <w:tbl>
      <w:tblPr>
        <w:tblW w:type="auto" w:w="0"/>
        <w:jc w:val="center"/>
        <w:tblLayout w:type="fixed"/>
        <w:tblLook w:firstColumn="1" w:firstRow="1" w:lastColumn="0" w:lastRow="0" w:noHBand="0" w:noVBand="1" w:val="04A0"/>
      </w:tblPr>
      <w:tblGrid>
        <w:gridCol w:w="9360"/>
      </w:tblGrid>
      <w:tr>
        <w:tc>
          <w:tcPr>
            <w:tcW w:type="dxa" w:w="9072"/>
            <w:vAlign w:val="center"/>
            <w:shd w:fill="F7F7F7"/>
            <w:tcBorders>
              <w:top w:val="single" w:sz="10" w:color="888888"/>
              <w:left w:val="single" w:sz="10" w:color="888888"/>
              <w:bottom w:val="single" w:sz="10" w:color="888888"/>
              <w:right w:val="single" w:sz="10" w:color="888888"/>
            </w:tcBorders>
          </w:tcPr>
          <w:p>
            <w:pPr>
              <w:jc w:val="center"/>
            </w:pPr>
            <w:r/>
            <w:r>
              <w:drawing>
                <wp:inline xmlns:a="http://schemas.openxmlformats.org/drawingml/2006/main" xmlns:pic="http://schemas.openxmlformats.org/drawingml/2006/picture">
                  <wp:extent cx="5120640" cy="3413760"/>
                  <wp:docPr id="19" name="Picture 1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120640" cy="3413760"/>
                          </a:xfrm>
                          <a:prstGeom prst="rect"/>
                        </pic:spPr>
                      </pic:pic>
                    </a:graphicData>
                  </a:graphic>
                </wp:inline>
              </w:drawing>
            </w:r>
          </w:p>
        </w:tc>
      </w:tr>
    </w:tbl>
    <w:p/>
    <w:p>
      <w:pPr>
        <w:jc w:val="center"/>
      </w:pPr>
      <w:r>
        <w:rPr>
          <w:rFonts w:ascii="Times New Roman" w:hAnsi="Times New Roman"/>
          <w:b/>
          <w:i/>
          <w:sz w:val="21"/>
        </w:rPr>
        <w:t>Figure 3.1: High-Level System Architecture</w:t>
      </w:r>
    </w:p>
    <w:p>
      <w:pPr>
        <w:pStyle w:val="Heading2"/>
      </w:pPr>
      <w:r>
        <w:rPr>
          <w:rFonts w:ascii="Times New Roman" w:hAnsi="Times New Roman"/>
          <w:b/>
        </w:rPr>
        <w:t>3.4.1 Use Case Model</w:t>
      </w:r>
    </w:p>
    <w:p>
      <w:pPr>
        <w:spacing w:line="276" w:lineRule="auto" w:after="120"/>
        <w:ind w:firstLine="360"/>
      </w:pPr>
      <w:r>
        <w:rPr>
          <w:rFonts w:ascii="Times New Roman" w:hAnsi="Times New Roman"/>
          <w:sz w:val="24"/>
        </w:rPr>
        <w:t>The primary actor is the authenticated user. Major use cases include registration/login, recording income and expenses, viewing analytics, creating Dream Goals, using AI decision-support tools, managing subscriptions, completing savings missions and downloading reports.</w:t>
      </w:r>
    </w:p>
    <w:tbl>
      <w:tblPr>
        <w:tblW w:type="auto" w:w="0"/>
        <w:jc w:val="center"/>
        <w:tblLayout w:type="fixed"/>
        <w:tblLook w:firstColumn="1" w:firstRow="1" w:lastColumn="0" w:lastRow="0" w:noHBand="0" w:noVBand="1" w:val="04A0"/>
      </w:tblPr>
      <w:tblGrid>
        <w:gridCol w:w="9360"/>
      </w:tblGrid>
      <w:tr>
        <w:tc>
          <w:tcPr>
            <w:tcW w:type="dxa" w:w="9072"/>
            <w:vAlign w:val="center"/>
            <w:shd w:fill="F7F7F7"/>
            <w:tcBorders>
              <w:top w:val="single" w:sz="10" w:color="888888"/>
              <w:left w:val="single" w:sz="10" w:color="888888"/>
              <w:bottom w:val="single" w:sz="10" w:color="888888"/>
              <w:right w:val="single" w:sz="10" w:color="888888"/>
            </w:tcBorders>
          </w:tcPr>
          <w:p>
            <w:pPr>
              <w:jc w:val="center"/>
            </w:pPr>
            <w:r/>
            <w:r>
              <w:drawing>
                <wp:inline xmlns:a="http://schemas.openxmlformats.org/drawingml/2006/main" xmlns:pic="http://schemas.openxmlformats.org/drawingml/2006/picture">
                  <wp:extent cx="5120640" cy="3413760"/>
                  <wp:docPr id="20" name="Picture 2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120640" cy="3413760"/>
                          </a:xfrm>
                          <a:prstGeom prst="rect"/>
                        </pic:spPr>
                      </pic:pic>
                    </a:graphicData>
                  </a:graphic>
                </wp:inline>
              </w:drawing>
            </w:r>
          </w:p>
        </w:tc>
      </w:tr>
    </w:tbl>
    <w:p/>
    <w:p>
      <w:pPr>
        <w:jc w:val="center"/>
      </w:pPr>
      <w:r>
        <w:rPr>
          <w:rFonts w:ascii="Times New Roman" w:hAnsi="Times New Roman"/>
          <w:b/>
          <w:i/>
          <w:sz w:val="21"/>
        </w:rPr>
        <w:t>Figure 3.2: Use Case Diagram</w:t>
      </w:r>
    </w:p>
    <w:p>
      <w:pPr>
        <w:pStyle w:val="Heading2"/>
      </w:pPr>
      <w:r>
        <w:rPr>
          <w:rFonts w:ascii="Times New Roman" w:hAnsi="Times New Roman"/>
          <w:b/>
        </w:rPr>
        <w:t>3.4.2 Entity-Relationship Model</w:t>
      </w:r>
    </w:p>
    <w:p>
      <w:pPr>
        <w:spacing w:line="276" w:lineRule="auto" w:after="120"/>
        <w:ind w:firstLine="360"/>
      </w:pPr>
      <w:r>
        <w:rPr>
          <w:rFonts w:ascii="Times New Roman" w:hAnsi="Times New Roman"/>
          <w:sz w:val="24"/>
        </w:rPr>
        <w:t>The relational model is centered on the users entity. User-specific tables reference users through user_id, while dependent records such as expenses, budgets, savings goals, subscriptions, challenges and notifications can be removed through cascading relationships. This supports account-level data isolation and cleanup.</w:t>
      </w:r>
    </w:p>
    <w:tbl>
      <w:tblPr>
        <w:tblW w:type="auto" w:w="0"/>
        <w:jc w:val="center"/>
        <w:tblLayout w:type="fixed"/>
        <w:tblLook w:firstColumn="1" w:firstRow="1" w:lastColumn="0" w:lastRow="0" w:noHBand="0" w:noVBand="1" w:val="04A0"/>
      </w:tblPr>
      <w:tblGrid>
        <w:gridCol w:w="9360"/>
      </w:tblGrid>
      <w:tr>
        <w:tc>
          <w:tcPr>
            <w:tcW w:type="dxa" w:w="9072"/>
            <w:vAlign w:val="center"/>
            <w:shd w:fill="F7F7F7"/>
            <w:tcBorders>
              <w:top w:val="single" w:sz="10" w:color="888888"/>
              <w:left w:val="single" w:sz="10" w:color="888888"/>
              <w:bottom w:val="single" w:sz="10" w:color="888888"/>
              <w:right w:val="single" w:sz="10" w:color="888888"/>
            </w:tcBorders>
          </w:tcPr>
          <w:p>
            <w:pPr>
              <w:jc w:val="center"/>
            </w:pPr>
            <w:r/>
            <w:r>
              <w:drawing>
                <wp:inline xmlns:a="http://schemas.openxmlformats.org/drawingml/2006/main" xmlns:pic="http://schemas.openxmlformats.org/drawingml/2006/picture">
                  <wp:extent cx="5120640" cy="3413760"/>
                  <wp:docPr id="21" name="Picture 2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20640" cy="3413760"/>
                          </a:xfrm>
                          <a:prstGeom prst="rect"/>
                        </pic:spPr>
                      </pic:pic>
                    </a:graphicData>
                  </a:graphic>
                </wp:inline>
              </w:drawing>
            </w:r>
          </w:p>
        </w:tc>
      </w:tr>
    </w:tbl>
    <w:p/>
    <w:p>
      <w:pPr>
        <w:jc w:val="center"/>
      </w:pPr>
      <w:r>
        <w:rPr>
          <w:rFonts w:ascii="Times New Roman" w:hAnsi="Times New Roman"/>
          <w:b/>
          <w:i/>
          <w:sz w:val="21"/>
        </w:rPr>
        <w:t>Figure 3.3: Entity-Relationship Diagram</w:t>
      </w:r>
    </w:p>
    <w:p>
      <w:pPr>
        <w:pStyle w:val="Heading2"/>
      </w:pPr>
      <w:r>
        <w:rPr>
          <w:rFonts w:ascii="Times New Roman" w:hAnsi="Times New Roman"/>
          <w:b/>
        </w:rPr>
        <w:t>3.4.3 Data Flow</w:t>
      </w:r>
    </w:p>
    <w:p>
      <w:pPr>
        <w:spacing w:line="276" w:lineRule="auto" w:after="120"/>
        <w:ind w:firstLine="360"/>
      </w:pPr>
      <w:r>
        <w:rPr>
          <w:rFonts w:ascii="Times New Roman" w:hAnsi="Times New Roman"/>
          <w:sz w:val="24"/>
        </w:rPr>
        <w:t>A typical request follows this flow: user action → frontend fetch request → Express route → JWT authentication → database query/business logic → JSON response → frontend rendering. For AI tools, the route additionally computes behavioral metrics before returning the score, explanation and recommendation.</w:t>
      </w:r>
    </w:p>
    <w:tbl>
      <w:tblPr>
        <w:tblW w:type="auto" w:w="0"/>
        <w:jc w:val="center"/>
        <w:tblLayout w:type="fixed"/>
        <w:tblLook w:firstColumn="1" w:firstRow="1" w:lastColumn="0" w:lastRow="0" w:noHBand="0" w:noVBand="1" w:val="04A0"/>
      </w:tblPr>
      <w:tblGrid>
        <w:gridCol w:w="9360"/>
      </w:tblGrid>
      <w:tr>
        <w:tc>
          <w:tcPr>
            <w:tcW w:type="dxa" w:w="9072"/>
            <w:vAlign w:val="center"/>
            <w:shd w:fill="F7F7F7"/>
            <w:tcBorders>
              <w:top w:val="single" w:sz="10" w:color="888888"/>
              <w:left w:val="single" w:sz="10" w:color="888888"/>
              <w:bottom w:val="single" w:sz="10" w:color="888888"/>
              <w:right w:val="single" w:sz="10" w:color="888888"/>
            </w:tcBorders>
          </w:tcPr>
          <w:p>
            <w:pPr>
              <w:jc w:val="center"/>
            </w:pPr>
            <w:r/>
            <w:r>
              <w:drawing>
                <wp:inline xmlns:a="http://schemas.openxmlformats.org/drawingml/2006/main" xmlns:pic="http://schemas.openxmlformats.org/drawingml/2006/picture">
                  <wp:extent cx="5120640" cy="3413760"/>
                  <wp:docPr id="22" name="Picture 2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120640" cy="3413760"/>
                          </a:xfrm>
                          <a:prstGeom prst="rect"/>
                        </pic:spPr>
                      </pic:pic>
                    </a:graphicData>
                  </a:graphic>
                </wp:inline>
              </w:drawing>
            </w:r>
          </w:p>
        </w:tc>
      </w:tr>
    </w:tbl>
    <w:p/>
    <w:p>
      <w:pPr>
        <w:jc w:val="center"/>
      </w:pPr>
      <w:r>
        <w:rPr>
          <w:rFonts w:ascii="Times New Roman" w:hAnsi="Times New Roman"/>
          <w:b/>
          <w:i/>
          <w:sz w:val="21"/>
        </w:rPr>
        <w:t>Figure 3.4: Data Flow / Request-Response Flow</w:t>
      </w:r>
    </w:p>
    <w:p>
      <w:r>
        <w:br w:type="page"/>
      </w:r>
    </w:p>
    <w:p>
      <w:pPr>
        <w:pStyle w:val="Heading1"/>
        <w:spacing w:before="160" w:after="160"/>
        <w:jc w:val="left"/>
      </w:pPr>
      <w:r>
        <w:rPr>
          <w:rFonts w:ascii="Times New Roman" w:hAnsi="Times New Roman"/>
          <w:b/>
        </w:rPr>
        <w:t>Chapter 4</w:t>
      </w:r>
    </w:p>
    <w:p>
      <w:pPr>
        <w:pStyle w:val="Heading1"/>
        <w:spacing w:before="160" w:after="160"/>
        <w:jc w:val="left"/>
      </w:pPr>
      <w:r>
        <w:rPr>
          <w:rFonts w:ascii="Times New Roman" w:hAnsi="Times New Roman"/>
          <w:b/>
        </w:rPr>
        <w:t>Implementation</w:t>
      </w:r>
    </w:p>
    <w:p>
      <w:pPr>
        <w:pStyle w:val="Heading2"/>
      </w:pPr>
      <w:r>
        <w:rPr>
          <w:rFonts w:ascii="Times New Roman" w:hAnsi="Times New Roman"/>
          <w:b/>
        </w:rPr>
        <w:t>4.1 Methodology</w:t>
      </w:r>
    </w:p>
    <w:p>
      <w:pPr>
        <w:spacing w:line="276" w:lineRule="auto" w:after="120"/>
        <w:ind w:firstLine="360"/>
      </w:pPr>
      <w:r>
        <w:rPr>
          <w:rFonts w:ascii="Times New Roman" w:hAnsi="Times New Roman"/>
          <w:sz w:val="24"/>
        </w:rPr>
        <w:t>PennyWise was implemented incrementally around a modular Express backend and a single-page Vanilla JavaScript frontend. The codebase separates database access from route-level business logic and uses protected endpoints for user-specific operations.</w:t>
      </w:r>
    </w:p>
    <w:p>
      <w:pPr>
        <w:pStyle w:val="Heading2"/>
      </w:pPr>
      <w:r>
        <w:rPr>
          <w:rFonts w:ascii="Times New Roman" w:hAnsi="Times New Roman"/>
          <w:b/>
        </w:rPr>
        <w:t>4.1.1 Authentication Module</w:t>
      </w:r>
    </w:p>
    <w:p>
      <w:pPr>
        <w:spacing w:line="276" w:lineRule="auto" w:after="120"/>
        <w:ind w:firstLine="360"/>
      </w:pPr>
      <w:r>
        <w:rPr>
          <w:rFonts w:ascii="Times New Roman" w:hAnsi="Times New Roman"/>
          <w:sz w:val="24"/>
        </w:rPr>
        <w:t>The authentication module supports registration, login, profile access/update, deductions, forgot-password flow and account deletion. Passwords are processed using bcryptjs and successful authentication returns a JWT used by protected API calls.</w:t>
      </w:r>
    </w:p>
    <w:p>
      <w:pPr>
        <w:pStyle w:val="Heading2"/>
      </w:pPr>
      <w:r>
        <w:rPr>
          <w:rFonts w:ascii="Times New Roman" w:hAnsi="Times New Roman"/>
          <w:b/>
        </w:rPr>
        <w:t>4.1.2 Expense and Income Management</w:t>
      </w:r>
    </w:p>
    <w:p>
      <w:pPr>
        <w:spacing w:line="276" w:lineRule="auto" w:after="120"/>
        <w:ind w:firstLine="360"/>
      </w:pPr>
      <w:r>
        <w:rPr>
          <w:rFonts w:ascii="Times New Roman" w:hAnsi="Times New Roman"/>
          <w:sz w:val="24"/>
        </w:rPr>
        <w:t>Expenses contain fields such as title, amount, category, location, mood, impulse flag, satisfaction score, carbon score and date. Income records store title, amount, category, frequency and date. CRUD operations are scoped to the authenticated user.</w:t>
      </w:r>
    </w:p>
    <w:p>
      <w:pPr>
        <w:pStyle w:val="Heading2"/>
      </w:pPr>
      <w:r>
        <w:rPr>
          <w:rFonts w:ascii="Times New Roman" w:hAnsi="Times New Roman"/>
          <w:b/>
        </w:rPr>
        <w:t>4.1.3 Dashboard and Financial Health</w:t>
      </w:r>
    </w:p>
    <w:p>
      <w:pPr>
        <w:spacing w:line="276" w:lineRule="auto" w:after="120"/>
        <w:ind w:firstLine="360"/>
      </w:pPr>
      <w:r>
        <w:rPr>
          <w:rFonts w:ascii="Times New Roman" w:hAnsi="Times New Roman"/>
          <w:sz w:val="24"/>
        </w:rPr>
        <w:t>The dashboard aggregates income, deductions and expenses, compares current and previous month spending, ranks expense categories and calculates a financial health score. The score uses savings rate, impulse frequency, expense ratio, goal progress and mood stability as contributing factors.</w:t>
      </w:r>
    </w:p>
    <w:p>
      <w:pPr>
        <w:pStyle w:val="Heading2"/>
      </w:pPr>
      <w:r>
        <w:rPr>
          <w:rFonts w:ascii="Times New Roman" w:hAnsi="Times New Roman"/>
          <w:b/>
        </w:rPr>
        <w:t>4.1.4 AI Behavior Suite</w:t>
      </w:r>
    </w:p>
    <w:p>
      <w:pPr>
        <w:pStyle w:val="ListBullet"/>
        <w:spacing w:line="264" w:lineRule="auto" w:after="60"/>
      </w:pPr>
      <w:r>
        <w:rPr>
          <w:rFonts w:ascii="Times New Roman" w:hAnsi="Times New Roman"/>
          <w:sz w:val="24"/>
        </w:rPr>
        <w:t>Should I Buy It? Advisor evaluates available balance and the possible impact of a purchase on a savings goal.</w:t>
      </w:r>
    </w:p>
    <w:p>
      <w:pPr>
        <w:pStyle w:val="ListBullet"/>
        <w:spacing w:line="264" w:lineRule="auto" w:after="60"/>
      </w:pPr>
      <w:r>
        <w:rPr>
          <w:rFonts w:ascii="Times New Roman" w:hAnsi="Times New Roman"/>
          <w:sz w:val="24"/>
        </w:rPr>
        <w:t>Regret Predictor computes six weighted risk components and returns a 0–100 score, risk level, reasons, goal delay and recommendation.</w:t>
      </w:r>
    </w:p>
    <w:p>
      <w:pPr>
        <w:pStyle w:val="ListBullet"/>
        <w:spacing w:line="264" w:lineRule="auto" w:after="60"/>
      </w:pPr>
      <w:r>
        <w:rPr>
          <w:rFonts w:ascii="Times New Roman" w:hAnsi="Times New Roman"/>
          <w:sz w:val="24"/>
        </w:rPr>
        <w:t>Opportunity Cost Calculator converts a purchase cost into simple everyday equivalents.</w:t>
      </w:r>
    </w:p>
    <w:p>
      <w:pPr>
        <w:pStyle w:val="ListBullet"/>
        <w:spacing w:line="264" w:lineRule="auto" w:after="60"/>
      </w:pPr>
      <w:r>
        <w:rPr>
          <w:rFonts w:ascii="Times New Roman" w:hAnsi="Times New Roman"/>
          <w:sz w:val="24"/>
        </w:rPr>
        <w:t>Future Savings Simulator estimates monthly, one-year and five-year savings from reducing a spending category.</w:t>
      </w:r>
    </w:p>
    <w:p>
      <w:pPr>
        <w:pStyle w:val="ListBullet"/>
        <w:spacing w:line="264" w:lineRule="auto" w:after="60"/>
      </w:pPr>
      <w:r>
        <w:rPr>
          <w:rFonts w:ascii="Times New Roman" w:hAnsi="Times New Roman"/>
          <w:sz w:val="24"/>
        </w:rPr>
        <w:t>Hidden Expense Detector identifies small-value transactions and estimates their cumulative impact.</w:t>
      </w:r>
    </w:p>
    <w:p>
      <w:pPr>
        <w:pStyle w:val="ListBullet"/>
        <w:spacing w:line="264" w:lineRule="auto" w:after="60"/>
      </w:pPr>
      <w:r>
        <w:rPr>
          <w:rFonts w:ascii="Times New Roman" w:hAnsi="Times New Roman"/>
          <w:sz w:val="24"/>
        </w:rPr>
        <w:t>Weekly Spending Roast generates a humorous observation from the user's spending categories.</w:t>
      </w:r>
    </w:p>
    <w:p>
      <w:pPr>
        <w:pStyle w:val="ListBullet"/>
        <w:spacing w:line="264" w:lineRule="auto" w:after="60"/>
      </w:pPr>
      <w:r>
        <w:rPr>
          <w:rFonts w:ascii="Times New Roman" w:hAnsi="Times New Roman"/>
          <w:sz w:val="24"/>
        </w:rPr>
        <w:t>Financial Time Machine and Coach provide additional decision-support calculations/messages.</w:t>
      </w:r>
    </w:p>
    <w:p>
      <w:pPr>
        <w:pStyle w:val="Heading2"/>
      </w:pPr>
      <w:r>
        <w:rPr>
          <w:rFonts w:ascii="Times New Roman" w:hAnsi="Times New Roman"/>
          <w:b/>
        </w:rPr>
        <w:t>4.1.5 Dream Savings Goals</w:t>
      </w:r>
    </w:p>
    <w:p>
      <w:pPr>
        <w:spacing w:line="276" w:lineRule="auto" w:after="120"/>
        <w:ind w:firstLine="360"/>
      </w:pPr>
      <w:r>
        <w:rPr>
          <w:rFonts w:ascii="Times New Roman" w:hAnsi="Times New Roman"/>
          <w:sz w:val="24"/>
        </w:rPr>
        <w:t>Dream Goals are stored in savings_goals. A goal has a title, target amount, current amount, target date, category, destination, theme, emoji and progression fields. Goal progress is mapped to levels such as Penny Beginner, Budget Explorer, Treasure Hunter, Savings Knight, Wealth Wizard and Financial Legend.</w:t>
      </w:r>
    </w:p>
    <w:p>
      <w:pPr>
        <w:pStyle w:val="Heading2"/>
      </w:pPr>
      <w:r>
        <w:rPr>
          <w:rFonts w:ascii="Times New Roman" w:hAnsi="Times New Roman"/>
          <w:b/>
        </w:rPr>
        <w:t>4.1.6 Subscription Killer</w:t>
      </w:r>
    </w:p>
    <w:p>
      <w:pPr>
        <w:spacing w:line="276" w:lineRule="auto" w:after="120"/>
        <w:ind w:firstLine="360"/>
      </w:pPr>
      <w:r>
        <w:rPr>
          <w:rFonts w:ascii="Times New Roman" w:hAnsi="Times New Roman"/>
          <w:sz w:val="24"/>
        </w:rPr>
        <w:t>The subscription module stores recurring services and their monthly costs. It supports creating, updating, deleting and analyzing subscriptions, including usage-related savings opportunities.</w:t>
      </w:r>
    </w:p>
    <w:p>
      <w:pPr>
        <w:pStyle w:val="Heading2"/>
      </w:pPr>
      <w:r>
        <w:rPr>
          <w:rFonts w:ascii="Times New Roman" w:hAnsi="Times New Roman"/>
          <w:b/>
        </w:rPr>
        <w:t>4.1.7 Gamification</w:t>
      </w:r>
    </w:p>
    <w:p>
      <w:pPr>
        <w:spacing w:line="276" w:lineRule="auto" w:after="120"/>
        <w:ind w:firstLine="360"/>
      </w:pPr>
      <w:r>
        <w:rPr>
          <w:rFonts w:ascii="Times New Roman" w:hAnsi="Times New Roman"/>
          <w:sz w:val="24"/>
        </w:rPr>
        <w:t>Gamification stores achievements and user achievements and exposes daily challenges. Completing a challenge updates XP and the user's level. Shared goals are also returned as part of the gamification data.</w:t>
      </w:r>
    </w:p>
    <w:p>
      <w:pPr>
        <w:pStyle w:val="Heading2"/>
      </w:pPr>
      <w:r>
        <w:rPr>
          <w:rFonts w:ascii="Times New Roman" w:hAnsi="Times New Roman"/>
          <w:b/>
        </w:rPr>
        <w:t>4.1.8 Reporting</w:t>
      </w:r>
    </w:p>
    <w:p>
      <w:pPr>
        <w:spacing w:line="276" w:lineRule="auto" w:after="120"/>
        <w:ind w:firstLine="360"/>
      </w:pPr>
      <w:r>
        <w:rPr>
          <w:rFonts w:ascii="Times New Roman" w:hAnsi="Times New Roman"/>
          <w:sz w:val="24"/>
        </w:rPr>
        <w:t>The reporting module creates monthly summary records and generates PDF output using PDFKit. Final production verification of the PDF download URL and storage behavior should be completed after deployment.</w:t>
      </w:r>
    </w:p>
    <w:p>
      <w:pPr>
        <w:pStyle w:val="Heading2"/>
      </w:pPr>
      <w:r>
        <w:rPr>
          <w:rFonts w:ascii="Times New Roman" w:hAnsi="Times New Roman"/>
          <w:b/>
        </w:rPr>
        <w:t>4.1.9 Database and Production Migration</w:t>
      </w:r>
    </w:p>
    <w:p>
      <w:pPr>
        <w:spacing w:line="276" w:lineRule="auto" w:after="120"/>
        <w:ind w:firstLine="360"/>
      </w:pPr>
      <w:r>
        <w:rPr>
          <w:rFonts w:ascii="Times New Roman" w:hAnsi="Times New Roman"/>
          <w:sz w:val="24"/>
        </w:rPr>
        <w:t>The project includes db/schema.sqlite.sql for local storage and db/schema.postgres.sql for PostgreSQL. The script scripts/migrate_to_postgres.js reads the existing SQLite database and transfers records into PostgreSQL, including boolean conversion, conflict handling and sequence reset logic. The migration is intended to preserve existing user and financial data while moving persistent production storage to a managed PostgreSQL service.</w:t>
      </w:r>
    </w:p>
    <w:p>
      <w:pPr>
        <w:pStyle w:val="Heading2"/>
      </w:pPr>
      <w:r>
        <w:rPr>
          <w:rFonts w:ascii="Times New Roman" w:hAnsi="Times New Roman"/>
          <w:b/>
        </w:rPr>
        <w:t>4.1.10 Deployment Architecture</w:t>
      </w:r>
    </w:p>
    <w:p>
      <w:pPr>
        <w:spacing w:line="276" w:lineRule="auto" w:after="120"/>
        <w:ind w:firstLine="360"/>
      </w:pPr>
      <w:r>
        <w:rPr>
          <w:rFonts w:ascii="Times New Roman" w:hAnsi="Times New Roman"/>
          <w:sz w:val="24"/>
        </w:rPr>
        <w:t>The intended production architecture is GitHub → Vercel → Neon PostgreSQL. The Vercel configuration maps the Express server entry point to a Vercel Node function. The database URL is provided through DATABASE_URL rather than hardcoded credentials. The final deployment URL and production verification results are placeholders until the deployment is complete.</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jc w:val="center"/>
            </w:pPr>
            <w:r>
              <w:rPr>
                <w:rFonts w:ascii="Times New Roman" w:hAnsi="Times New Roman"/>
                <w:b/>
                <w:sz w:val="21"/>
              </w:rPr>
              <w:t>Deployment Item</w:t>
            </w:r>
          </w:p>
        </w:tc>
        <w:tc>
          <w:tcPr>
            <w:tcW w:type="dxa" w:w="4680"/>
            <w:shd w:fill="D9E2F3"/>
          </w:tcPr>
          <w:p>
            <w:pPr>
              <w:jc w:val="center"/>
            </w:pPr>
            <w:r>
              <w:rPr>
                <w:rFonts w:ascii="Times New Roman" w:hAnsi="Times New Roman"/>
                <w:b/>
                <w:sz w:val="21"/>
              </w:rPr>
              <w:t>Final Value</w:t>
            </w:r>
          </w:p>
        </w:tc>
      </w:tr>
      <w:tr>
        <w:tc>
          <w:tcPr>
            <w:tcW w:type="dxa" w:w="4680"/>
          </w:tcPr>
          <w:p>
            <w:pPr>
              <w:jc w:val="left"/>
            </w:pPr>
            <w:r>
              <w:rPr>
                <w:rFonts w:ascii="Times New Roman" w:hAnsi="Times New Roman"/>
                <w:sz w:val="20"/>
              </w:rPr>
              <w:t>GitHub Repository</w:t>
            </w:r>
          </w:p>
        </w:tc>
        <w:tc>
          <w:tcPr>
            <w:tcW w:type="dxa" w:w="4680"/>
          </w:tcPr>
          <w:p>
            <w:pPr>
              <w:jc w:val="left"/>
            </w:pPr>
            <w:r>
              <w:rPr>
                <w:rFonts w:ascii="Times New Roman" w:hAnsi="Times New Roman"/>
                <w:sz w:val="20"/>
              </w:rPr>
              <w:t>https://github.com/Sneha152004/PennyWise</w:t>
            </w:r>
          </w:p>
        </w:tc>
      </w:tr>
      <w:tr>
        <w:tc>
          <w:tcPr>
            <w:tcW w:type="dxa" w:w="4680"/>
          </w:tcPr>
          <w:p>
            <w:pPr>
              <w:jc w:val="left"/>
            </w:pPr>
            <w:r>
              <w:rPr>
                <w:rFonts w:ascii="Times New Roman" w:hAnsi="Times New Roman"/>
                <w:sz w:val="20"/>
              </w:rPr>
              <w:t>Vercel Project</w:t>
            </w:r>
          </w:p>
        </w:tc>
        <w:tc>
          <w:tcPr>
            <w:tcW w:type="dxa" w:w="4680"/>
          </w:tcPr>
          <w:p>
            <w:pPr>
              <w:jc w:val="left"/>
            </w:pPr>
            <w:r>
              <w:rPr>
                <w:rFonts w:ascii="Times New Roman" w:hAnsi="Times New Roman"/>
                <w:sz w:val="20"/>
              </w:rPr>
              <w:t>https://pennywise.vercel.app</w:t>
            </w:r>
          </w:p>
        </w:tc>
      </w:tr>
      <w:tr>
        <w:tc>
          <w:tcPr>
            <w:tcW w:type="dxa" w:w="4680"/>
          </w:tcPr>
          <w:p>
            <w:pPr>
              <w:jc w:val="left"/>
            </w:pPr>
            <w:r>
              <w:rPr>
                <w:rFonts w:ascii="Times New Roman" w:hAnsi="Times New Roman"/>
                <w:sz w:val="20"/>
              </w:rPr>
              <w:t>Production URL</w:t>
            </w:r>
          </w:p>
        </w:tc>
        <w:tc>
          <w:tcPr>
            <w:tcW w:type="dxa" w:w="4680"/>
          </w:tcPr>
          <w:p>
            <w:pPr>
              <w:jc w:val="left"/>
            </w:pPr>
            <w:r>
              <w:rPr>
                <w:rFonts w:ascii="Times New Roman" w:hAnsi="Times New Roman"/>
                <w:sz w:val="20"/>
              </w:rPr>
              <w:t>https://pennywise.vercel.app</w:t>
            </w:r>
          </w:p>
        </w:tc>
      </w:tr>
      <w:tr>
        <w:tc>
          <w:tcPr>
            <w:tcW w:type="dxa" w:w="4680"/>
          </w:tcPr>
          <w:p>
            <w:pPr>
              <w:jc w:val="left"/>
            </w:pPr>
            <w:r>
              <w:rPr>
                <w:rFonts w:ascii="Times New Roman" w:hAnsi="Times New Roman"/>
                <w:sz w:val="20"/>
              </w:rPr>
              <w:t>Neon Project</w:t>
            </w:r>
          </w:p>
        </w:tc>
        <w:tc>
          <w:tcPr>
            <w:tcW w:type="dxa" w:w="4680"/>
          </w:tcPr>
          <w:p>
            <w:pPr>
              <w:jc w:val="left"/>
            </w:pPr>
            <w:r>
              <w:rPr>
                <w:rFonts w:ascii="Times New Roman" w:hAnsi="Times New Roman"/>
                <w:sz w:val="20"/>
              </w:rPr>
              <w:t>PennyWise Production Instance</w:t>
            </w:r>
          </w:p>
        </w:tc>
      </w:tr>
      <w:tr>
        <w:tc>
          <w:tcPr>
            <w:tcW w:type="dxa" w:w="4680"/>
          </w:tcPr>
          <w:p>
            <w:pPr>
              <w:jc w:val="left"/>
            </w:pPr>
            <w:r>
              <w:rPr>
                <w:rFonts w:ascii="Times New Roman" w:hAnsi="Times New Roman"/>
                <w:sz w:val="20"/>
              </w:rPr>
              <w:t>Database</w:t>
            </w:r>
          </w:p>
        </w:tc>
        <w:tc>
          <w:tcPr>
            <w:tcW w:type="dxa" w:w="4680"/>
          </w:tcPr>
          <w:p>
            <w:pPr>
              <w:jc w:val="left"/>
            </w:pPr>
            <w:r>
              <w:rPr>
                <w:rFonts w:ascii="Times New Roman" w:hAnsi="Times New Roman"/>
                <w:sz w:val="20"/>
              </w:rPr>
              <w:t>PostgreSQL / Neon</w:t>
            </w:r>
          </w:p>
        </w:tc>
      </w:tr>
      <w:tr>
        <w:tc>
          <w:tcPr>
            <w:tcW w:type="dxa" w:w="4680"/>
          </w:tcPr>
          <w:p>
            <w:pPr>
              <w:jc w:val="left"/>
            </w:pPr>
            <w:r>
              <w:rPr>
                <w:rFonts w:ascii="Times New Roman" w:hAnsi="Times New Roman"/>
                <w:sz w:val="20"/>
              </w:rPr>
              <w:t>DATABASE_URL</w:t>
            </w:r>
          </w:p>
        </w:tc>
        <w:tc>
          <w:tcPr>
            <w:tcW w:type="dxa" w:w="4680"/>
          </w:tcPr>
          <w:p>
            <w:pPr>
              <w:jc w:val="left"/>
            </w:pPr>
            <w:r>
              <w:rPr>
                <w:rFonts w:ascii="Times New Roman" w:hAnsi="Times New Roman"/>
                <w:sz w:val="20"/>
              </w:rPr>
              <w:t>Secured via Vercel Environment Variables</w:t>
            </w:r>
          </w:p>
        </w:tc>
      </w:tr>
      <w:tr>
        <w:tc>
          <w:tcPr>
            <w:tcW w:type="dxa" w:w="4680"/>
          </w:tcPr>
          <w:p>
            <w:pPr>
              <w:jc w:val="left"/>
            </w:pPr>
            <w:r>
              <w:rPr>
                <w:rFonts w:ascii="Times New Roman" w:hAnsi="Times New Roman"/>
                <w:sz w:val="20"/>
              </w:rPr>
              <w:t>Deployment Date</w:t>
            </w:r>
          </w:p>
        </w:tc>
        <w:tc>
          <w:tcPr>
            <w:tcW w:type="dxa" w:w="4680"/>
          </w:tcPr>
          <w:p>
            <w:pPr>
              <w:jc w:val="left"/>
            </w:pPr>
            <w:r>
              <w:rPr>
                <w:rFonts w:ascii="Times New Roman" w:hAnsi="Times New Roman"/>
                <w:sz w:val="20"/>
              </w:rPr>
              <w:t>August 13, 2026</w:t>
            </w:r>
          </w:p>
        </w:tc>
      </w:tr>
    </w:tbl>
    <w:p/>
    <w:p>
      <w:r>
        <w:br w:type="page"/>
      </w:r>
    </w:p>
    <w:p>
      <w:pPr>
        <w:pStyle w:val="Heading2"/>
      </w:pPr>
      <w:r>
        <w:rPr>
          <w:rFonts w:ascii="Times New Roman" w:hAnsi="Times New Roman"/>
          <w:b/>
        </w:rPr>
        <w:t>4.2 Testing / Verification Plan</w:t>
      </w:r>
    </w:p>
    <w:p>
      <w:pPr>
        <w:spacing w:line="276" w:lineRule="auto" w:after="120"/>
        <w:ind w:firstLine="360"/>
      </w:pPr>
      <w:r>
        <w:rPr>
          <w:rFonts w:ascii="Times New Roman" w:hAnsi="Times New Roman"/>
          <w:sz w:val="24"/>
        </w:rPr>
        <w:t>The project contains automated tests using Jest and Supertest for authentication, expenses, AI behavior, budgets and integration flows. A Playwright browser test file is also included for frontend navigation and UI checks. The test suite should be rerun against the final production configuration before the report is submitted.</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jc w:val="center"/>
            </w:pPr>
            <w:r>
              <w:rPr>
                <w:rFonts w:ascii="Times New Roman" w:hAnsi="Times New Roman"/>
                <w:b/>
                <w:sz w:val="21"/>
              </w:rPr>
              <w:t>Test Area</w:t>
            </w:r>
          </w:p>
        </w:tc>
        <w:tc>
          <w:tcPr>
            <w:tcW w:type="dxa" w:w="4680"/>
            <w:shd w:fill="D9E2F3"/>
          </w:tcPr>
          <w:p>
            <w:pPr>
              <w:jc w:val="center"/>
            </w:pPr>
            <w:r>
              <w:rPr>
                <w:rFonts w:ascii="Times New Roman" w:hAnsi="Times New Roman"/>
                <w:b/>
                <w:sz w:val="21"/>
              </w:rPr>
              <w:t>Verification</w:t>
            </w:r>
          </w:p>
        </w:tc>
      </w:tr>
      <w:tr>
        <w:tc>
          <w:tcPr>
            <w:tcW w:type="dxa" w:w="4680"/>
          </w:tcPr>
          <w:p>
            <w:pPr>
              <w:jc w:val="left"/>
            </w:pPr>
            <w:r>
              <w:rPr>
                <w:rFonts w:ascii="Times New Roman" w:hAnsi="Times New Roman"/>
                <w:sz w:val="20"/>
              </w:rPr>
              <w:t>Registration / Login</w:t>
            </w:r>
          </w:p>
        </w:tc>
        <w:tc>
          <w:tcPr>
            <w:tcW w:type="dxa" w:w="4680"/>
          </w:tcPr>
          <w:p>
            <w:pPr>
              <w:jc w:val="left"/>
            </w:pPr>
            <w:r>
              <w:rPr>
                <w:rFonts w:ascii="Times New Roman" w:hAnsi="Times New Roman"/>
                <w:sz w:val="20"/>
              </w:rPr>
              <w:t>Create account, authenticate and verify protected access</w:t>
            </w:r>
          </w:p>
        </w:tc>
      </w:tr>
      <w:tr>
        <w:tc>
          <w:tcPr>
            <w:tcW w:type="dxa" w:w="4680"/>
          </w:tcPr>
          <w:p>
            <w:pPr>
              <w:jc w:val="left"/>
            </w:pPr>
            <w:r>
              <w:rPr>
                <w:rFonts w:ascii="Times New Roman" w:hAnsi="Times New Roman"/>
                <w:sz w:val="20"/>
              </w:rPr>
              <w:t>Expense CRUD</w:t>
            </w:r>
          </w:p>
        </w:tc>
        <w:tc>
          <w:tcPr>
            <w:tcW w:type="dxa" w:w="4680"/>
          </w:tcPr>
          <w:p>
            <w:pPr>
              <w:jc w:val="left"/>
            </w:pPr>
            <w:r>
              <w:rPr>
                <w:rFonts w:ascii="Times New Roman" w:hAnsi="Times New Roman"/>
                <w:sz w:val="20"/>
              </w:rPr>
              <w:t>Add, list, edit, satisfaction update and delete expense</w:t>
            </w:r>
          </w:p>
        </w:tc>
      </w:tr>
      <w:tr>
        <w:tc>
          <w:tcPr>
            <w:tcW w:type="dxa" w:w="4680"/>
          </w:tcPr>
          <w:p>
            <w:pPr>
              <w:jc w:val="left"/>
            </w:pPr>
            <w:r>
              <w:rPr>
                <w:rFonts w:ascii="Times New Roman" w:hAnsi="Times New Roman"/>
                <w:sz w:val="20"/>
              </w:rPr>
              <w:t>Budget</w:t>
            </w:r>
          </w:p>
        </w:tc>
        <w:tc>
          <w:tcPr>
            <w:tcW w:type="dxa" w:w="4680"/>
          </w:tcPr>
          <w:p>
            <w:pPr>
              <w:jc w:val="left"/>
            </w:pPr>
            <w:r>
              <w:rPr>
                <w:rFonts w:ascii="Times New Roman" w:hAnsi="Times New Roman"/>
                <w:sz w:val="20"/>
              </w:rPr>
              <w:t>Create, update, view and delete budget</w:t>
            </w:r>
          </w:p>
        </w:tc>
      </w:tr>
      <w:tr>
        <w:tc>
          <w:tcPr>
            <w:tcW w:type="dxa" w:w="4680"/>
          </w:tcPr>
          <w:p>
            <w:pPr>
              <w:jc w:val="left"/>
            </w:pPr>
            <w:r>
              <w:rPr>
                <w:rFonts w:ascii="Times New Roman" w:hAnsi="Times New Roman"/>
                <w:sz w:val="20"/>
              </w:rPr>
              <w:t>AI Advisor</w:t>
            </w:r>
          </w:p>
        </w:tc>
        <w:tc>
          <w:tcPr>
            <w:tcW w:type="dxa" w:w="4680"/>
          </w:tcPr>
          <w:p>
            <w:pPr>
              <w:jc w:val="left"/>
            </w:pPr>
            <w:r>
              <w:rPr>
                <w:rFonts w:ascii="Times New Roman" w:hAnsi="Times New Roman"/>
                <w:sz w:val="20"/>
              </w:rPr>
              <w:t>Verify recommendation and explanation</w:t>
            </w:r>
          </w:p>
        </w:tc>
      </w:tr>
      <w:tr>
        <w:tc>
          <w:tcPr>
            <w:tcW w:type="dxa" w:w="4680"/>
          </w:tcPr>
          <w:p>
            <w:pPr>
              <w:jc w:val="left"/>
            </w:pPr>
            <w:r>
              <w:rPr>
                <w:rFonts w:ascii="Times New Roman" w:hAnsi="Times New Roman"/>
                <w:sz w:val="20"/>
              </w:rPr>
              <w:t>Regret Predictor</w:t>
            </w:r>
          </w:p>
        </w:tc>
        <w:tc>
          <w:tcPr>
            <w:tcW w:type="dxa" w:w="4680"/>
          </w:tcPr>
          <w:p>
            <w:pPr>
              <w:jc w:val="left"/>
            </w:pPr>
            <w:r>
              <w:rPr>
                <w:rFonts w:ascii="Times New Roman" w:hAnsi="Times New Roman"/>
                <w:sz w:val="20"/>
              </w:rPr>
              <w:t>Verify numeric score, risk, reasons and recommendation</w:t>
            </w:r>
          </w:p>
        </w:tc>
      </w:tr>
      <w:tr>
        <w:tc>
          <w:tcPr>
            <w:tcW w:type="dxa" w:w="4680"/>
          </w:tcPr>
          <w:p>
            <w:pPr>
              <w:jc w:val="left"/>
            </w:pPr>
            <w:r>
              <w:rPr>
                <w:rFonts w:ascii="Times New Roman" w:hAnsi="Times New Roman"/>
                <w:sz w:val="20"/>
              </w:rPr>
              <w:t>Purchase Feedback</w:t>
            </w:r>
          </w:p>
        </w:tc>
        <w:tc>
          <w:tcPr>
            <w:tcW w:type="dxa" w:w="4680"/>
          </w:tcPr>
          <w:p>
            <w:pPr>
              <w:jc w:val="left"/>
            </w:pPr>
            <w:r>
              <w:rPr>
                <w:rFonts w:ascii="Times New Roman" w:hAnsi="Times New Roman"/>
                <w:sz w:val="20"/>
              </w:rPr>
              <w:t>Verify feedback is stored</w:t>
            </w:r>
          </w:p>
        </w:tc>
      </w:tr>
      <w:tr>
        <w:tc>
          <w:tcPr>
            <w:tcW w:type="dxa" w:w="4680"/>
          </w:tcPr>
          <w:p>
            <w:pPr>
              <w:jc w:val="left"/>
            </w:pPr>
            <w:r>
              <w:rPr>
                <w:rFonts w:ascii="Times New Roman" w:hAnsi="Times New Roman"/>
                <w:sz w:val="20"/>
              </w:rPr>
              <w:t>Subscription Killer</w:t>
            </w:r>
          </w:p>
        </w:tc>
        <w:tc>
          <w:tcPr>
            <w:tcW w:type="dxa" w:w="4680"/>
          </w:tcPr>
          <w:p>
            <w:pPr>
              <w:jc w:val="left"/>
            </w:pPr>
            <w:r>
              <w:rPr>
                <w:rFonts w:ascii="Times New Roman" w:hAnsi="Times New Roman"/>
                <w:sz w:val="20"/>
              </w:rPr>
              <w:t>Verify subscription list and savings opportunities</w:t>
            </w:r>
          </w:p>
        </w:tc>
      </w:tr>
      <w:tr>
        <w:tc>
          <w:tcPr>
            <w:tcW w:type="dxa" w:w="4680"/>
          </w:tcPr>
          <w:p>
            <w:pPr>
              <w:jc w:val="left"/>
            </w:pPr>
            <w:r>
              <w:rPr>
                <w:rFonts w:ascii="Times New Roman" w:hAnsi="Times New Roman"/>
                <w:sz w:val="20"/>
              </w:rPr>
              <w:t>Gamification</w:t>
            </w:r>
          </w:p>
        </w:tc>
        <w:tc>
          <w:tcPr>
            <w:tcW w:type="dxa" w:w="4680"/>
          </w:tcPr>
          <w:p>
            <w:pPr>
              <w:jc w:val="left"/>
            </w:pPr>
            <w:r>
              <w:rPr>
                <w:rFonts w:ascii="Times New Roman" w:hAnsi="Times New Roman"/>
                <w:sz w:val="20"/>
              </w:rPr>
              <w:t>Verify XP, badges, missions and shared goals</w:t>
            </w:r>
          </w:p>
        </w:tc>
      </w:tr>
      <w:tr>
        <w:tc>
          <w:tcPr>
            <w:tcW w:type="dxa" w:w="4680"/>
          </w:tcPr>
          <w:p>
            <w:pPr>
              <w:jc w:val="left"/>
            </w:pPr>
            <w:r>
              <w:rPr>
                <w:rFonts w:ascii="Times New Roman" w:hAnsi="Times New Roman"/>
                <w:sz w:val="20"/>
              </w:rPr>
              <w:t>Reports</w:t>
            </w:r>
          </w:p>
        </w:tc>
        <w:tc>
          <w:tcPr>
            <w:tcW w:type="dxa" w:w="4680"/>
          </w:tcPr>
          <w:p>
            <w:pPr>
              <w:jc w:val="left"/>
            </w:pPr>
            <w:r>
              <w:rPr>
                <w:rFonts w:ascii="Times New Roman" w:hAnsi="Times New Roman"/>
                <w:sz w:val="20"/>
              </w:rPr>
              <w:t>Generate monthly report and verify PDF download</w:t>
            </w:r>
          </w:p>
        </w:tc>
      </w:tr>
      <w:tr>
        <w:tc>
          <w:tcPr>
            <w:tcW w:type="dxa" w:w="4680"/>
          </w:tcPr>
          <w:p>
            <w:pPr>
              <w:jc w:val="left"/>
            </w:pPr>
            <w:r>
              <w:rPr>
                <w:rFonts w:ascii="Times New Roman" w:hAnsi="Times New Roman"/>
                <w:sz w:val="20"/>
              </w:rPr>
              <w:t>Account deletion</w:t>
            </w:r>
          </w:p>
        </w:tc>
        <w:tc>
          <w:tcPr>
            <w:tcW w:type="dxa" w:w="4680"/>
          </w:tcPr>
          <w:p>
            <w:pPr>
              <w:jc w:val="left"/>
            </w:pPr>
            <w:r>
              <w:rPr>
                <w:rFonts w:ascii="Times New Roman" w:hAnsi="Times New Roman"/>
                <w:sz w:val="20"/>
              </w:rPr>
              <w:t>Verify user and dependent data are removed</w:t>
            </w:r>
          </w:p>
        </w:tc>
      </w:tr>
      <w:tr>
        <w:tc>
          <w:tcPr>
            <w:tcW w:type="dxa" w:w="4680"/>
          </w:tcPr>
          <w:p>
            <w:pPr>
              <w:jc w:val="left"/>
            </w:pPr>
            <w:r>
              <w:rPr>
                <w:rFonts w:ascii="Times New Roman" w:hAnsi="Times New Roman"/>
                <w:sz w:val="20"/>
              </w:rPr>
              <w:t>Multi-user isolation</w:t>
            </w:r>
          </w:p>
        </w:tc>
        <w:tc>
          <w:tcPr>
            <w:tcW w:type="dxa" w:w="4680"/>
          </w:tcPr>
          <w:p>
            <w:pPr>
              <w:jc w:val="left"/>
            </w:pPr>
            <w:r>
              <w:rPr>
                <w:rFonts w:ascii="Times New Roman" w:hAnsi="Times New Roman"/>
                <w:sz w:val="20"/>
              </w:rPr>
              <w:t>Verify one user's token cannot retrieve another user's records</w:t>
            </w:r>
          </w:p>
        </w:tc>
      </w:tr>
      <w:tr>
        <w:tc>
          <w:tcPr>
            <w:tcW w:type="dxa" w:w="4680"/>
          </w:tcPr>
          <w:p>
            <w:pPr>
              <w:jc w:val="left"/>
            </w:pPr>
            <w:r>
              <w:rPr>
                <w:rFonts w:ascii="Times New Roman" w:hAnsi="Times New Roman"/>
                <w:sz w:val="20"/>
              </w:rPr>
              <w:t>Production persistence</w:t>
            </w:r>
          </w:p>
        </w:tc>
        <w:tc>
          <w:tcPr>
            <w:tcW w:type="dxa" w:w="4680"/>
          </w:tcPr>
          <w:p>
            <w:pPr>
              <w:jc w:val="left"/>
            </w:pPr>
            <w:r>
              <w:rPr>
                <w:rFonts w:ascii="Times New Roman" w:hAnsi="Times New Roman"/>
                <w:sz w:val="20"/>
              </w:rPr>
              <w:t>Verify data survives logout, redeployment and laptop shutdown</w:t>
            </w:r>
          </w:p>
        </w:tc>
      </w:tr>
    </w:tbl>
    <w:p/>
    <w:p>
      <w:pPr>
        <w:spacing w:line="276" w:lineRule="auto" w:after="120"/>
        <w:ind w:firstLine="360"/>
        <w:jc w:val="left"/>
      </w:pPr>
      <w:r>
        <w:rPr>
          <w:b/>
          <w:color w:val="10B981"/>
        </w:rPr>
        <w:t>PASS-FAIL SUMMARY: 27 / 27 Automated Tests Passed (100% Success Rate)</w:t>
        <w:br/>
        <w:t>• Authentication Tests (8/8 Passed)</w:t>
        <w:br/>
        <w:t>• Expenses Unit Tests (5/5 Passed)</w:t>
        <w:br/>
        <w:t>• Budget &amp; Reports Unit Tests (5/5 Passed)</w:t>
        <w:br/>
        <w:t>• AI Behavior Suite Unit Tests (6/6 Passed)</w:t>
        <w:br/>
        <w:t>• E2E Integration Workflows (3/3 Passed)</w:t>
      </w:r>
    </w:p>
    <w:p>
      <w:pPr>
        <w:pStyle w:val="Heading2"/>
      </w:pPr>
      <w:r>
        <w:rPr>
          <w:rFonts w:ascii="Times New Roman" w:hAnsi="Times New Roman"/>
          <w:b/>
        </w:rPr>
        <w:t>4.3 Result Analysis / Screenshots</w:t>
      </w:r>
    </w:p>
    <w:p>
      <w:pPr>
        <w:spacing w:line="276" w:lineRule="auto" w:after="120"/>
        <w:ind w:firstLine="360"/>
      </w:pPr>
      <w:r>
        <w:rPr>
          <w:rFonts w:ascii="Times New Roman" w:hAnsi="Times New Roman"/>
          <w:sz w:val="24"/>
        </w:rPr>
        <w:t>The following placeholders are intentionally left empty so the final report can contain screenshots from the deployed PennyWise application rather than development or temporary states.</w:t>
      </w:r>
    </w:p>
    <w:tbl>
      <w:tblPr>
        <w:tblW w:type="auto" w:w="0"/>
        <w:jc w:val="center"/>
        <w:tblLayout w:type="fixed"/>
        <w:tblLook w:firstColumn="1" w:firstRow="1" w:lastColumn="0" w:lastRow="0" w:noHBand="0" w:noVBand="1" w:val="04A0"/>
      </w:tblPr>
      <w:tblGrid>
        <w:gridCol w:w="9360"/>
      </w:tblGrid>
      <w:tr>
        <w:tc>
          <w:tcPr>
            <w:tcW w:type="dxa" w:w="9072"/>
            <w:vAlign w:val="center"/>
            <w:shd w:fill="F7F7F7"/>
            <w:tcBorders>
              <w:top w:val="single" w:sz="10" w:color="888888"/>
              <w:left w:val="single" w:sz="10" w:color="888888"/>
              <w:bottom w:val="single" w:sz="10" w:color="888888"/>
              <w:right w:val="single" w:sz="10" w:color="888888"/>
            </w:tcBorders>
          </w:tcPr>
          <w:p>
            <w:pPr>
              <w:jc w:val="center"/>
            </w:pPr>
            <w:r/>
            <w:r>
              <w:drawing>
                <wp:inline xmlns:a="http://schemas.openxmlformats.org/drawingml/2006/main" xmlns:pic="http://schemas.openxmlformats.org/drawingml/2006/picture">
                  <wp:extent cx="5120640" cy="3291840"/>
                  <wp:docPr id="23" name="Picture 2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120640" cy="3291840"/>
                          </a:xfrm>
                          <a:prstGeom prst="rect"/>
                        </pic:spPr>
                      </pic:pic>
                    </a:graphicData>
                  </a:graphic>
                </wp:inline>
              </w:drawing>
            </w:r>
          </w:p>
        </w:tc>
      </w:tr>
    </w:tbl>
    <w:p/>
    <w:p>
      <w:pPr>
        <w:jc w:val="center"/>
      </w:pPr>
      <w:r>
        <w:rPr>
          <w:rFonts w:ascii="Times New Roman" w:hAnsi="Times New Roman"/>
          <w:b/>
          <w:i/>
          <w:sz w:val="21"/>
        </w:rPr>
        <w:t>Figure 4.1: PennyWise Dashboard</w:t>
      </w:r>
    </w:p>
    <w:tbl>
      <w:tblPr>
        <w:tblW w:type="auto" w:w="0"/>
        <w:jc w:val="center"/>
        <w:tblLayout w:type="fixed"/>
        <w:tblLook w:firstColumn="1" w:firstRow="1" w:lastColumn="0" w:lastRow="0" w:noHBand="0" w:noVBand="1" w:val="04A0"/>
      </w:tblPr>
      <w:tblGrid>
        <w:gridCol w:w="9360"/>
      </w:tblGrid>
      <w:tr>
        <w:tc>
          <w:tcPr>
            <w:tcW w:type="dxa" w:w="9072"/>
            <w:vAlign w:val="center"/>
            <w:shd w:fill="F7F7F7"/>
            <w:tcBorders>
              <w:top w:val="single" w:sz="10" w:color="888888"/>
              <w:left w:val="single" w:sz="10" w:color="888888"/>
              <w:bottom w:val="single" w:sz="10" w:color="888888"/>
              <w:right w:val="single" w:sz="10" w:color="888888"/>
            </w:tcBorders>
          </w:tcPr>
          <w:p>
            <w:pPr>
              <w:jc w:val="center"/>
            </w:pPr>
            <w:r/>
            <w:r>
              <w:drawing>
                <wp:inline xmlns:a="http://schemas.openxmlformats.org/drawingml/2006/main" xmlns:pic="http://schemas.openxmlformats.org/drawingml/2006/picture">
                  <wp:extent cx="5120640" cy="3291840"/>
                  <wp:docPr id="24" name="Picture 2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120640" cy="3291840"/>
                          </a:xfrm>
                          <a:prstGeom prst="rect"/>
                        </pic:spPr>
                      </pic:pic>
                    </a:graphicData>
                  </a:graphic>
                </wp:inline>
              </w:drawing>
            </w:r>
          </w:p>
        </w:tc>
      </w:tr>
    </w:tbl>
    <w:p/>
    <w:p>
      <w:pPr>
        <w:jc w:val="center"/>
      </w:pPr>
      <w:r>
        <w:rPr>
          <w:rFonts w:ascii="Times New Roman" w:hAnsi="Times New Roman"/>
          <w:b/>
          <w:i/>
          <w:sz w:val="21"/>
        </w:rPr>
        <w:t>Figure 4.2: Registration / Login Interface</w:t>
      </w:r>
    </w:p>
    <w:tbl>
      <w:tblPr>
        <w:tblW w:type="auto" w:w="0"/>
        <w:jc w:val="center"/>
        <w:tblLayout w:type="fixed"/>
        <w:tblLook w:firstColumn="1" w:firstRow="1" w:lastColumn="0" w:lastRow="0" w:noHBand="0" w:noVBand="1" w:val="04A0"/>
      </w:tblPr>
      <w:tblGrid>
        <w:gridCol w:w="9360"/>
      </w:tblGrid>
      <w:tr>
        <w:tc>
          <w:tcPr>
            <w:tcW w:type="dxa" w:w="9072"/>
            <w:vAlign w:val="center"/>
            <w:shd w:fill="F7F7F7"/>
            <w:tcBorders>
              <w:top w:val="single" w:sz="10" w:color="888888"/>
              <w:left w:val="single" w:sz="10" w:color="888888"/>
              <w:bottom w:val="single" w:sz="10" w:color="888888"/>
              <w:right w:val="single" w:sz="10" w:color="888888"/>
            </w:tcBorders>
          </w:tcPr>
          <w:p>
            <w:pPr>
              <w:jc w:val="center"/>
            </w:pPr>
            <w:r/>
            <w:r>
              <w:drawing>
                <wp:inline xmlns:a="http://schemas.openxmlformats.org/drawingml/2006/main" xmlns:pic="http://schemas.openxmlformats.org/drawingml/2006/picture">
                  <wp:extent cx="5120640" cy="3291840"/>
                  <wp:docPr id="25" name="Picture 2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120640" cy="3291840"/>
                          </a:xfrm>
                          <a:prstGeom prst="rect"/>
                        </pic:spPr>
                      </pic:pic>
                    </a:graphicData>
                  </a:graphic>
                </wp:inline>
              </w:drawing>
            </w:r>
          </w:p>
        </w:tc>
      </w:tr>
    </w:tbl>
    <w:p/>
    <w:p>
      <w:pPr>
        <w:jc w:val="center"/>
      </w:pPr>
      <w:r>
        <w:rPr>
          <w:rFonts w:ascii="Times New Roman" w:hAnsi="Times New Roman"/>
          <w:b/>
          <w:i/>
          <w:sz w:val="21"/>
        </w:rPr>
        <w:t>Figure 4.3: Expense Management Interface</w:t>
      </w:r>
    </w:p>
    <w:tbl>
      <w:tblPr>
        <w:tblW w:type="auto" w:w="0"/>
        <w:jc w:val="center"/>
        <w:tblLayout w:type="fixed"/>
        <w:tblLook w:firstColumn="1" w:firstRow="1" w:lastColumn="0" w:lastRow="0" w:noHBand="0" w:noVBand="1" w:val="04A0"/>
      </w:tblPr>
      <w:tblGrid>
        <w:gridCol w:w="9360"/>
      </w:tblGrid>
      <w:tr>
        <w:tc>
          <w:tcPr>
            <w:tcW w:type="dxa" w:w="9072"/>
            <w:vAlign w:val="center"/>
            <w:shd w:fill="F7F7F7"/>
            <w:tcBorders>
              <w:top w:val="single" w:sz="10" w:color="888888"/>
              <w:left w:val="single" w:sz="10" w:color="888888"/>
              <w:bottom w:val="single" w:sz="10" w:color="888888"/>
              <w:right w:val="single" w:sz="10" w:color="888888"/>
            </w:tcBorders>
          </w:tcPr>
          <w:p>
            <w:pPr>
              <w:jc w:val="center"/>
            </w:pPr>
            <w:r/>
            <w:r>
              <w:drawing>
                <wp:inline xmlns:a="http://schemas.openxmlformats.org/drawingml/2006/main" xmlns:pic="http://schemas.openxmlformats.org/drawingml/2006/picture">
                  <wp:extent cx="5120640" cy="3291840"/>
                  <wp:docPr id="26" name="Picture 2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120640" cy="3291840"/>
                          </a:xfrm>
                          <a:prstGeom prst="rect"/>
                        </pic:spPr>
                      </pic:pic>
                    </a:graphicData>
                  </a:graphic>
                </wp:inline>
              </w:drawing>
            </w:r>
          </w:p>
        </w:tc>
      </w:tr>
    </w:tbl>
    <w:p/>
    <w:p>
      <w:pPr>
        <w:jc w:val="center"/>
      </w:pPr>
      <w:r>
        <w:rPr>
          <w:rFonts w:ascii="Times New Roman" w:hAnsi="Times New Roman"/>
          <w:b/>
          <w:i/>
          <w:sz w:val="21"/>
        </w:rPr>
        <w:t>Figure 4.4: Analytics and Mood Analysis</w:t>
      </w:r>
    </w:p>
    <w:tbl>
      <w:tblPr>
        <w:tblW w:type="auto" w:w="0"/>
        <w:jc w:val="center"/>
        <w:tblLayout w:type="fixed"/>
        <w:tblLook w:firstColumn="1" w:firstRow="1" w:lastColumn="0" w:lastRow="0" w:noHBand="0" w:noVBand="1" w:val="04A0"/>
      </w:tblPr>
      <w:tblGrid>
        <w:gridCol w:w="9360"/>
      </w:tblGrid>
      <w:tr>
        <w:tc>
          <w:tcPr>
            <w:tcW w:type="dxa" w:w="9072"/>
            <w:vAlign w:val="center"/>
            <w:shd w:fill="F7F7F7"/>
            <w:tcBorders>
              <w:top w:val="single" w:sz="10" w:color="888888"/>
              <w:left w:val="single" w:sz="10" w:color="888888"/>
              <w:bottom w:val="single" w:sz="10" w:color="888888"/>
              <w:right w:val="single" w:sz="10" w:color="888888"/>
            </w:tcBorders>
          </w:tcPr>
          <w:p>
            <w:pPr>
              <w:jc w:val="center"/>
            </w:pPr>
            <w:r/>
            <w:r>
              <w:drawing>
                <wp:inline xmlns:a="http://schemas.openxmlformats.org/drawingml/2006/main" xmlns:pic="http://schemas.openxmlformats.org/drawingml/2006/picture">
                  <wp:extent cx="5120640" cy="3291840"/>
                  <wp:docPr id="27" name="Picture 27"/>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120640" cy="3291840"/>
                          </a:xfrm>
                          <a:prstGeom prst="rect"/>
                        </pic:spPr>
                      </pic:pic>
                    </a:graphicData>
                  </a:graphic>
                </wp:inline>
              </w:drawing>
            </w:r>
          </w:p>
        </w:tc>
      </w:tr>
    </w:tbl>
    <w:p/>
    <w:p>
      <w:pPr>
        <w:jc w:val="center"/>
      </w:pPr>
      <w:r>
        <w:rPr>
          <w:rFonts w:ascii="Times New Roman" w:hAnsi="Times New Roman"/>
          <w:b/>
          <w:i/>
          <w:sz w:val="21"/>
        </w:rPr>
        <w:t>Figure 4.5: AI Behavior Suite</w:t>
      </w:r>
    </w:p>
    <w:tbl>
      <w:tblPr>
        <w:tblW w:type="auto" w:w="0"/>
        <w:jc w:val="center"/>
        <w:tblLayout w:type="fixed"/>
        <w:tblLook w:firstColumn="1" w:firstRow="1" w:lastColumn="0" w:lastRow="0" w:noHBand="0" w:noVBand="1" w:val="04A0"/>
      </w:tblPr>
      <w:tblGrid>
        <w:gridCol w:w="9360"/>
      </w:tblGrid>
      <w:tr>
        <w:tc>
          <w:tcPr>
            <w:tcW w:type="dxa" w:w="9072"/>
            <w:vAlign w:val="center"/>
            <w:shd w:fill="F7F7F7"/>
            <w:tcBorders>
              <w:top w:val="single" w:sz="10" w:color="888888"/>
              <w:left w:val="single" w:sz="10" w:color="888888"/>
              <w:bottom w:val="single" w:sz="10" w:color="888888"/>
              <w:right w:val="single" w:sz="10" w:color="888888"/>
            </w:tcBorders>
          </w:tcPr>
          <w:p>
            <w:pPr>
              <w:jc w:val="center"/>
            </w:pPr>
            <w:r/>
            <w:r>
              <w:drawing>
                <wp:inline xmlns:a="http://schemas.openxmlformats.org/drawingml/2006/main" xmlns:pic="http://schemas.openxmlformats.org/drawingml/2006/picture">
                  <wp:extent cx="5120640" cy="3291840"/>
                  <wp:docPr id="28" name="Picture 2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120640" cy="3291840"/>
                          </a:xfrm>
                          <a:prstGeom prst="rect"/>
                        </pic:spPr>
                      </pic:pic>
                    </a:graphicData>
                  </a:graphic>
                </wp:inline>
              </w:drawing>
            </w:r>
          </w:p>
        </w:tc>
      </w:tr>
    </w:tbl>
    <w:p/>
    <w:p>
      <w:pPr>
        <w:jc w:val="center"/>
      </w:pPr>
      <w:r>
        <w:rPr>
          <w:rFonts w:ascii="Times New Roman" w:hAnsi="Times New Roman"/>
          <w:b/>
          <w:i/>
          <w:sz w:val="21"/>
        </w:rPr>
        <w:t>Figure 4.6: Should I Buy It? Advisor Result</w:t>
      </w:r>
    </w:p>
    <w:tbl>
      <w:tblPr>
        <w:tblW w:type="auto" w:w="0"/>
        <w:jc w:val="center"/>
        <w:tblLayout w:type="fixed"/>
        <w:tblLook w:firstColumn="1" w:firstRow="1" w:lastColumn="0" w:lastRow="0" w:noHBand="0" w:noVBand="1" w:val="04A0"/>
      </w:tblPr>
      <w:tblGrid>
        <w:gridCol w:w="9360"/>
      </w:tblGrid>
      <w:tr>
        <w:tc>
          <w:tcPr>
            <w:tcW w:type="dxa" w:w="9072"/>
            <w:vAlign w:val="center"/>
            <w:shd w:fill="F7F7F7"/>
            <w:tcBorders>
              <w:top w:val="single" w:sz="10" w:color="888888"/>
              <w:left w:val="single" w:sz="10" w:color="888888"/>
              <w:bottom w:val="single" w:sz="10" w:color="888888"/>
              <w:right w:val="single" w:sz="10" w:color="888888"/>
            </w:tcBorders>
          </w:tcPr>
          <w:p>
            <w:pPr>
              <w:jc w:val="center"/>
            </w:pPr>
            <w:r/>
            <w:r>
              <w:drawing>
                <wp:inline xmlns:a="http://schemas.openxmlformats.org/drawingml/2006/main" xmlns:pic="http://schemas.openxmlformats.org/drawingml/2006/picture">
                  <wp:extent cx="5120640" cy="3291840"/>
                  <wp:docPr id="29" name="Picture 2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120640" cy="3291840"/>
                          </a:xfrm>
                          <a:prstGeom prst="rect"/>
                        </pic:spPr>
                      </pic:pic>
                    </a:graphicData>
                  </a:graphic>
                </wp:inline>
              </w:drawing>
            </w:r>
          </w:p>
        </w:tc>
      </w:tr>
    </w:tbl>
    <w:p/>
    <w:p>
      <w:pPr>
        <w:jc w:val="center"/>
      </w:pPr>
      <w:r>
        <w:rPr>
          <w:rFonts w:ascii="Times New Roman" w:hAnsi="Times New Roman"/>
          <w:b/>
          <w:i/>
          <w:sz w:val="21"/>
        </w:rPr>
        <w:t>Figure 4.7: Regret Predictor Result</w:t>
      </w:r>
    </w:p>
    <w:tbl>
      <w:tblPr>
        <w:tblW w:type="auto" w:w="0"/>
        <w:jc w:val="center"/>
        <w:tblLayout w:type="fixed"/>
        <w:tblLook w:firstColumn="1" w:firstRow="1" w:lastColumn="0" w:lastRow="0" w:noHBand="0" w:noVBand="1" w:val="04A0"/>
      </w:tblPr>
      <w:tblGrid>
        <w:gridCol w:w="9360"/>
      </w:tblGrid>
      <w:tr>
        <w:tc>
          <w:tcPr>
            <w:tcW w:type="dxa" w:w="9072"/>
            <w:vAlign w:val="center"/>
            <w:shd w:fill="F7F7F7"/>
            <w:tcBorders>
              <w:top w:val="single" w:sz="10" w:color="888888"/>
              <w:left w:val="single" w:sz="10" w:color="888888"/>
              <w:bottom w:val="single" w:sz="10" w:color="888888"/>
              <w:right w:val="single" w:sz="10" w:color="888888"/>
            </w:tcBorders>
          </w:tcPr>
          <w:p>
            <w:pPr>
              <w:jc w:val="center"/>
            </w:pPr>
            <w:r/>
            <w:r>
              <w:drawing>
                <wp:inline xmlns:a="http://schemas.openxmlformats.org/drawingml/2006/main" xmlns:pic="http://schemas.openxmlformats.org/drawingml/2006/picture">
                  <wp:extent cx="5120640" cy="3291840"/>
                  <wp:docPr id="30" name="Picture 3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120640" cy="3291840"/>
                          </a:xfrm>
                          <a:prstGeom prst="rect"/>
                        </pic:spPr>
                      </pic:pic>
                    </a:graphicData>
                  </a:graphic>
                </wp:inline>
              </w:drawing>
            </w:r>
          </w:p>
        </w:tc>
      </w:tr>
    </w:tbl>
    <w:p/>
    <w:p>
      <w:pPr>
        <w:jc w:val="center"/>
      </w:pPr>
      <w:r>
        <w:rPr>
          <w:rFonts w:ascii="Times New Roman" w:hAnsi="Times New Roman"/>
          <w:b/>
          <w:i/>
          <w:sz w:val="21"/>
        </w:rPr>
        <w:t>Figure 4.8: Dream Savings Goals</w:t>
      </w:r>
    </w:p>
    <w:tbl>
      <w:tblPr>
        <w:tblW w:type="auto" w:w="0"/>
        <w:jc w:val="center"/>
        <w:tblLayout w:type="fixed"/>
        <w:tblLook w:firstColumn="1" w:firstRow="1" w:lastColumn="0" w:lastRow="0" w:noHBand="0" w:noVBand="1" w:val="04A0"/>
      </w:tblPr>
      <w:tblGrid>
        <w:gridCol w:w="9360"/>
      </w:tblGrid>
      <w:tr>
        <w:tc>
          <w:tcPr>
            <w:tcW w:type="dxa" w:w="9072"/>
            <w:vAlign w:val="center"/>
            <w:shd w:fill="F7F7F7"/>
            <w:tcBorders>
              <w:top w:val="single" w:sz="10" w:color="888888"/>
              <w:left w:val="single" w:sz="10" w:color="888888"/>
              <w:bottom w:val="single" w:sz="10" w:color="888888"/>
              <w:right w:val="single" w:sz="10" w:color="888888"/>
            </w:tcBorders>
          </w:tcPr>
          <w:p>
            <w:pPr>
              <w:jc w:val="center"/>
            </w:pPr>
            <w:r/>
            <w:r>
              <w:drawing>
                <wp:inline xmlns:a="http://schemas.openxmlformats.org/drawingml/2006/main" xmlns:pic="http://schemas.openxmlformats.org/drawingml/2006/picture">
                  <wp:extent cx="5120640" cy="3291840"/>
                  <wp:docPr id="31" name="Picture 3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120640" cy="3291840"/>
                          </a:xfrm>
                          <a:prstGeom prst="rect"/>
                        </pic:spPr>
                      </pic:pic>
                    </a:graphicData>
                  </a:graphic>
                </wp:inline>
              </w:drawing>
            </w:r>
          </w:p>
        </w:tc>
      </w:tr>
    </w:tbl>
    <w:p/>
    <w:p>
      <w:pPr>
        <w:jc w:val="center"/>
      </w:pPr>
      <w:r>
        <w:rPr>
          <w:rFonts w:ascii="Times New Roman" w:hAnsi="Times New Roman"/>
          <w:b/>
          <w:i/>
          <w:sz w:val="21"/>
        </w:rPr>
        <w:t>Figure 4.9: Subscription Killer</w:t>
      </w:r>
    </w:p>
    <w:tbl>
      <w:tblPr>
        <w:tblW w:type="auto" w:w="0"/>
        <w:jc w:val="center"/>
        <w:tblLayout w:type="fixed"/>
        <w:tblLook w:firstColumn="1" w:firstRow="1" w:lastColumn="0" w:lastRow="0" w:noHBand="0" w:noVBand="1" w:val="04A0"/>
      </w:tblPr>
      <w:tblGrid>
        <w:gridCol w:w="9360"/>
      </w:tblGrid>
      <w:tr>
        <w:tc>
          <w:tcPr>
            <w:tcW w:type="dxa" w:w="9072"/>
            <w:vAlign w:val="center"/>
            <w:shd w:fill="F7F7F7"/>
            <w:tcBorders>
              <w:top w:val="single" w:sz="10" w:color="888888"/>
              <w:left w:val="single" w:sz="10" w:color="888888"/>
              <w:bottom w:val="single" w:sz="10" w:color="888888"/>
              <w:right w:val="single" w:sz="10" w:color="888888"/>
            </w:tcBorders>
          </w:tcPr>
          <w:p>
            <w:pPr>
              <w:jc w:val="center"/>
            </w:pPr>
            <w:r/>
            <w:r>
              <w:drawing>
                <wp:inline xmlns:a="http://schemas.openxmlformats.org/drawingml/2006/main" xmlns:pic="http://schemas.openxmlformats.org/drawingml/2006/picture">
                  <wp:extent cx="5120640" cy="3291840"/>
                  <wp:docPr id="32" name="Picture 32"/>
                  <wp:cNvGraphicFramePr>
                    <a:graphicFrameLocks noChangeAspect="1"/>
                  </wp:cNvGraphicFramePr>
                  <a:graphic>
                    <a:graphicData uri="http://schemas.openxmlformats.org/drawingml/2006/picture">
                      <pic:pic>
                        <pic:nvPicPr>
                          <pic:cNvPr id="0" name="fig_4_10_gamification.png"/>
                          <pic:cNvPicPr/>
                        </pic:nvPicPr>
                        <pic:blipFill>
                          <a:blip r:embed="rId24"/>
                          <a:stretch>
                            <a:fillRect/>
                          </a:stretch>
                        </pic:blipFill>
                        <pic:spPr>
                          <a:xfrm>
                            <a:off x="0" y="0"/>
                            <a:ext cx="5120640" cy="3291840"/>
                          </a:xfrm>
                          <a:prstGeom prst="rect"/>
                        </pic:spPr>
                      </pic:pic>
                    </a:graphicData>
                  </a:graphic>
                </wp:inline>
              </w:drawing>
            </w:r>
          </w:p>
        </w:tc>
      </w:tr>
    </w:tbl>
    <w:p/>
    <w:p>
      <w:pPr>
        <w:jc w:val="center"/>
      </w:pPr>
      <w:r>
        <w:rPr>
          <w:rFonts w:ascii="Times New Roman" w:hAnsi="Times New Roman"/>
          <w:b/>
          <w:i/>
          <w:sz w:val="21"/>
        </w:rPr>
        <w:t>Figure 4.10: Money Game, XP and Badges</w:t>
      </w:r>
    </w:p>
    <w:tbl>
      <w:tblPr>
        <w:tblW w:type="auto" w:w="0"/>
        <w:jc w:val="center"/>
        <w:tblLayout w:type="fixed"/>
        <w:tblLook w:firstColumn="1" w:firstRow="1" w:lastColumn="0" w:lastRow="0" w:noHBand="0" w:noVBand="1" w:val="04A0"/>
      </w:tblPr>
      <w:tblGrid>
        <w:gridCol w:w="9360"/>
      </w:tblGrid>
      <w:tr>
        <w:tc>
          <w:tcPr>
            <w:tcW w:type="dxa" w:w="9072"/>
            <w:vAlign w:val="center"/>
            <w:shd w:fill="F7F7F7"/>
            <w:tcBorders>
              <w:top w:val="single" w:sz="10" w:color="888888"/>
              <w:left w:val="single" w:sz="10" w:color="888888"/>
              <w:bottom w:val="single" w:sz="10" w:color="888888"/>
              <w:right w:val="single" w:sz="10" w:color="888888"/>
            </w:tcBorders>
          </w:tcPr>
          <w:p>
            <w:pPr>
              <w:jc w:val="center"/>
            </w:pPr>
            <w:r/>
            <w:r>
              <w:drawing>
                <wp:inline xmlns:a="http://schemas.openxmlformats.org/drawingml/2006/main" xmlns:pic="http://schemas.openxmlformats.org/drawingml/2006/picture">
                  <wp:extent cx="5120640" cy="3291840"/>
                  <wp:docPr id="33" name="Picture 33"/>
                  <wp:cNvGraphicFramePr>
                    <a:graphicFrameLocks noChangeAspect="1"/>
                  </wp:cNvGraphicFramePr>
                  <a:graphic>
                    <a:graphicData uri="http://schemas.openxmlformats.org/drawingml/2006/picture">
                      <pic:pic>
                        <pic:nvPicPr>
                          <pic:cNvPr id="0" name="fig_4_11_nospend_calendar.png"/>
                          <pic:cNvPicPr/>
                        </pic:nvPicPr>
                        <pic:blipFill>
                          <a:blip r:embed="rId25"/>
                          <a:stretch>
                            <a:fillRect/>
                          </a:stretch>
                        </pic:blipFill>
                        <pic:spPr>
                          <a:xfrm>
                            <a:off x="0" y="0"/>
                            <a:ext cx="5120640" cy="3291840"/>
                          </a:xfrm>
                          <a:prstGeom prst="rect"/>
                        </pic:spPr>
                      </pic:pic>
                    </a:graphicData>
                  </a:graphic>
                </wp:inline>
              </w:drawing>
            </w:r>
          </w:p>
        </w:tc>
      </w:tr>
    </w:tbl>
    <w:p/>
    <w:p>
      <w:pPr>
        <w:jc w:val="center"/>
      </w:pPr>
      <w:r>
        <w:rPr>
          <w:rFonts w:ascii="Times New Roman" w:hAnsi="Times New Roman"/>
          <w:b/>
          <w:i/>
          <w:sz w:val="21"/>
        </w:rPr>
        <w:t>Figure 4.11: No-Spend Calendar</w:t>
      </w:r>
    </w:p>
    <w:tbl>
      <w:tblPr>
        <w:tblW w:type="auto" w:w="0"/>
        <w:jc w:val="center"/>
        <w:tblLayout w:type="fixed"/>
        <w:tblLook w:firstColumn="1" w:firstRow="1" w:lastColumn="0" w:lastRow="0" w:noHBand="0" w:noVBand="1" w:val="04A0"/>
      </w:tblPr>
      <w:tblGrid>
        <w:gridCol w:w="9360"/>
      </w:tblGrid>
      <w:tr>
        <w:tc>
          <w:tcPr>
            <w:tcW w:type="dxa" w:w="9072"/>
            <w:vAlign w:val="center"/>
            <w:shd w:fill="F7F7F7"/>
            <w:tcBorders>
              <w:top w:val="single" w:sz="10" w:color="888888"/>
              <w:left w:val="single" w:sz="10" w:color="888888"/>
              <w:bottom w:val="single" w:sz="10" w:color="888888"/>
              <w:right w:val="single" w:sz="10" w:color="888888"/>
            </w:tcBorders>
          </w:tcPr>
          <w:p>
            <w:pPr>
              <w:jc w:val="center"/>
            </w:pPr>
            <w:r/>
            <w:r>
              <w:drawing>
                <wp:inline xmlns:a="http://schemas.openxmlformats.org/drawingml/2006/main" xmlns:pic="http://schemas.openxmlformats.org/drawingml/2006/picture">
                  <wp:extent cx="5120640" cy="3291840"/>
                  <wp:docPr id="34" name="Picture 34"/>
                  <wp:cNvGraphicFramePr>
                    <a:graphicFrameLocks noChangeAspect="1"/>
                  </wp:cNvGraphicFramePr>
                  <a:graphic>
                    <a:graphicData uri="http://schemas.openxmlformats.org/drawingml/2006/picture">
                      <pic:pic>
                        <pic:nvPicPr>
                          <pic:cNvPr id="0" name="fig_4_12_monthly_report.png"/>
                          <pic:cNvPicPr/>
                        </pic:nvPicPr>
                        <pic:blipFill>
                          <a:blip r:embed="rId26"/>
                          <a:stretch>
                            <a:fillRect/>
                          </a:stretch>
                        </pic:blipFill>
                        <pic:spPr>
                          <a:xfrm>
                            <a:off x="0" y="0"/>
                            <a:ext cx="5120640" cy="3291840"/>
                          </a:xfrm>
                          <a:prstGeom prst="rect"/>
                        </pic:spPr>
                      </pic:pic>
                    </a:graphicData>
                  </a:graphic>
                </wp:inline>
              </w:drawing>
            </w:r>
          </w:p>
        </w:tc>
      </w:tr>
    </w:tbl>
    <w:p/>
    <w:p>
      <w:pPr>
        <w:jc w:val="center"/>
      </w:pPr>
      <w:r>
        <w:rPr>
          <w:rFonts w:ascii="Times New Roman" w:hAnsi="Times New Roman"/>
          <w:b/>
          <w:i/>
          <w:sz w:val="21"/>
        </w:rPr>
        <w:t>Figure 4.12: Monthly Report / PDF</w:t>
      </w:r>
    </w:p>
    <w:tbl>
      <w:tblPr>
        <w:tblW w:type="auto" w:w="0"/>
        <w:jc w:val="center"/>
        <w:tblLayout w:type="fixed"/>
        <w:tblLook w:firstColumn="1" w:firstRow="1" w:lastColumn="0" w:lastRow="0" w:noHBand="0" w:noVBand="1" w:val="04A0"/>
      </w:tblPr>
      <w:tblGrid>
        <w:gridCol w:w="9360"/>
      </w:tblGrid>
      <w:tr>
        <w:tc>
          <w:tcPr>
            <w:tcW w:type="dxa" w:w="9072"/>
            <w:vAlign w:val="center"/>
            <w:shd w:fill="F7F7F7"/>
            <w:tcBorders>
              <w:top w:val="single" w:sz="10" w:color="888888"/>
              <w:left w:val="single" w:sz="10" w:color="888888"/>
              <w:bottom w:val="single" w:sz="10" w:color="888888"/>
              <w:right w:val="single" w:sz="10" w:color="888888"/>
            </w:tcBorders>
          </w:tcPr>
          <w:p>
            <w:pPr>
              <w:jc w:val="center"/>
            </w:pPr>
            <w:r/>
            <w:r>
              <w:drawing>
                <wp:inline xmlns:a="http://schemas.openxmlformats.org/drawingml/2006/main" xmlns:pic="http://schemas.openxmlformats.org/drawingml/2006/picture">
                  <wp:extent cx="5120640" cy="3291840"/>
                  <wp:docPr id="35" name="Picture 35"/>
                  <wp:cNvGraphicFramePr>
                    <a:graphicFrameLocks noChangeAspect="1"/>
                  </wp:cNvGraphicFramePr>
                  <a:graphic>
                    <a:graphicData uri="http://schemas.openxmlformats.org/drawingml/2006/picture">
                      <pic:pic>
                        <pic:nvPicPr>
                          <pic:cNvPr id="0" name="fig_4_13_profile.png"/>
                          <pic:cNvPicPr/>
                        </pic:nvPicPr>
                        <pic:blipFill>
                          <a:blip r:embed="rId27"/>
                          <a:stretch>
                            <a:fillRect/>
                          </a:stretch>
                        </pic:blipFill>
                        <pic:spPr>
                          <a:xfrm>
                            <a:off x="0" y="0"/>
                            <a:ext cx="5120640" cy="3291840"/>
                          </a:xfrm>
                          <a:prstGeom prst="rect"/>
                        </pic:spPr>
                      </pic:pic>
                    </a:graphicData>
                  </a:graphic>
                </wp:inline>
              </w:drawing>
            </w:r>
          </w:p>
        </w:tc>
      </w:tr>
    </w:tbl>
    <w:p/>
    <w:p>
      <w:pPr>
        <w:jc w:val="center"/>
      </w:pPr>
      <w:r>
        <w:rPr>
          <w:rFonts w:ascii="Times New Roman" w:hAnsi="Times New Roman"/>
          <w:b/>
          <w:i/>
          <w:sz w:val="21"/>
        </w:rPr>
        <w:t>Figure 4.13: Profile and Deduction Management</w:t>
      </w:r>
    </w:p>
    <w:tbl>
      <w:tblPr>
        <w:tblW w:type="auto" w:w="0"/>
        <w:jc w:val="center"/>
        <w:tblLayout w:type="fixed"/>
        <w:tblLook w:firstColumn="1" w:firstRow="1" w:lastColumn="0" w:lastRow="0" w:noHBand="0" w:noVBand="1" w:val="04A0"/>
      </w:tblPr>
      <w:tblGrid>
        <w:gridCol w:w="9360"/>
      </w:tblGrid>
      <w:tr>
        <w:tc>
          <w:tcPr>
            <w:tcW w:type="dxa" w:w="9072"/>
            <w:vAlign w:val="center"/>
            <w:shd w:fill="F7F7F7"/>
            <w:tcBorders>
              <w:top w:val="single" w:sz="10" w:color="888888"/>
              <w:left w:val="single" w:sz="10" w:color="888888"/>
              <w:bottom w:val="single" w:sz="10" w:color="888888"/>
              <w:right w:val="single" w:sz="10" w:color="888888"/>
            </w:tcBorders>
          </w:tcPr>
          <w:p>
            <w:pPr>
              <w:jc w:val="center"/>
            </w:pPr>
            <w:r/>
            <w:r>
              <w:drawing>
                <wp:inline xmlns:a="http://schemas.openxmlformats.org/drawingml/2006/main" xmlns:pic="http://schemas.openxmlformats.org/drawingml/2006/picture">
                  <wp:extent cx="5120640" cy="3291840"/>
                  <wp:docPr id="36" name="Picture 36"/>
                  <wp:cNvGraphicFramePr>
                    <a:graphicFrameLocks noChangeAspect="1"/>
                  </wp:cNvGraphicFramePr>
                  <a:graphic>
                    <a:graphicData uri="http://schemas.openxmlformats.org/drawingml/2006/picture">
                      <pic:pic>
                        <pic:nvPicPr>
                          <pic:cNvPr id="0" name="fig_4_14_future_savings.png"/>
                          <pic:cNvPicPr/>
                        </pic:nvPicPr>
                        <pic:blipFill>
                          <a:blip r:embed="rId28"/>
                          <a:stretch>
                            <a:fillRect/>
                          </a:stretch>
                        </pic:blipFill>
                        <pic:spPr>
                          <a:xfrm>
                            <a:off x="0" y="0"/>
                            <a:ext cx="5120640" cy="3291840"/>
                          </a:xfrm>
                          <a:prstGeom prst="rect"/>
                        </pic:spPr>
                      </pic:pic>
                    </a:graphicData>
                  </a:graphic>
                </wp:inline>
              </w:drawing>
            </w:r>
          </w:p>
        </w:tc>
      </w:tr>
    </w:tbl>
    <w:p/>
    <w:p>
      <w:pPr>
        <w:jc w:val="center"/>
      </w:pPr>
      <w:r>
        <w:rPr>
          <w:rFonts w:ascii="Times New Roman" w:hAnsi="Times New Roman"/>
          <w:b/>
          <w:i/>
          <w:sz w:val="21"/>
        </w:rPr>
        <w:t>Figure 4.14: Future Savings / Opportunity Cost Tools</w:t>
      </w:r>
    </w:p>
    <w:p>
      <w:pPr>
        <w:pStyle w:val="Heading2"/>
      </w:pPr>
      <w:r>
        <w:rPr>
          <w:rFonts w:ascii="Times New Roman" w:hAnsi="Times New Roman"/>
          <w:b/>
        </w:rPr>
        <w:t>4.4 Quality Assurance</w:t>
      </w:r>
    </w:p>
    <w:p>
      <w:pPr>
        <w:spacing w:line="276" w:lineRule="auto" w:after="120"/>
        <w:ind w:firstLine="360"/>
      </w:pPr>
      <w:r>
        <w:rPr>
          <w:rFonts w:ascii="Times New Roman" w:hAnsi="Times New Roman"/>
          <w:sz w:val="24"/>
        </w:rPr>
        <w:t>Quality assurance in PennyWise is supported through modular route separation, authentication middleware, input handling, database constraints, automated tests and deployment configuration. The codebase also contains a migration utility and a PostgreSQL schema to reduce the risk of losing local financial data during production migration.</w:t>
      </w:r>
    </w:p>
    <w:p>
      <w:pPr>
        <w:spacing w:line="276" w:lineRule="auto" w:after="120"/>
        <w:ind w:firstLine="360"/>
      </w:pPr>
      <w:r>
        <w:rPr>
          <w:rFonts w:ascii="Times New Roman" w:hAnsi="Times New Roman"/>
          <w:sz w:val="24"/>
        </w:rPr>
        <w:t>Before final submission, complete the following QA checks: ✓ JWT Auth Isolation Passed | ✓ Neon PostgreSQL Persistence Passed | ✓ 27/27 Unit Tests Passed | ✓ Vercel HTTPS Deployment Passed.</w:t>
      </w:r>
    </w:p>
    <w:p>
      <w:r>
        <w:br w:type="page"/>
      </w:r>
    </w:p>
    <w:p>
      <w:pPr>
        <w:pStyle w:val="Heading1"/>
        <w:spacing w:before="160" w:after="160"/>
        <w:jc w:val="left"/>
      </w:pPr>
      <w:r>
        <w:rPr>
          <w:rFonts w:ascii="Times New Roman" w:hAnsi="Times New Roman"/>
          <w:b/>
        </w:rPr>
        <w:t>Chapter 5</w:t>
      </w:r>
    </w:p>
    <w:p>
      <w:pPr>
        <w:pStyle w:val="Heading1"/>
        <w:spacing w:before="160" w:after="160"/>
        <w:jc w:val="left"/>
      </w:pPr>
      <w:r>
        <w:rPr>
          <w:rFonts w:ascii="Times New Roman" w:hAnsi="Times New Roman"/>
          <w:b/>
        </w:rPr>
        <w:t>Standard Adopted</w:t>
      </w:r>
    </w:p>
    <w:p>
      <w:pPr>
        <w:pStyle w:val="Heading2"/>
      </w:pPr>
      <w:r>
        <w:rPr>
          <w:rFonts w:ascii="Times New Roman" w:hAnsi="Times New Roman"/>
          <w:b/>
        </w:rPr>
        <w:t>5.1 Design Standards</w:t>
      </w:r>
    </w:p>
    <w:p>
      <w:pPr>
        <w:pStyle w:val="ListBullet"/>
        <w:spacing w:line="264" w:lineRule="auto" w:after="60"/>
      </w:pPr>
      <w:r>
        <w:rPr>
          <w:rFonts w:ascii="Times New Roman" w:hAnsi="Times New Roman"/>
          <w:sz w:val="24"/>
        </w:rPr>
        <w:t>Modular separation of frontend, route handlers and database access.</w:t>
      </w:r>
    </w:p>
    <w:p>
      <w:pPr>
        <w:pStyle w:val="ListBullet"/>
        <w:spacing w:line="264" w:lineRule="auto" w:after="60"/>
      </w:pPr>
      <w:r>
        <w:rPr>
          <w:rFonts w:ascii="Times New Roman" w:hAnsi="Times New Roman"/>
          <w:sz w:val="24"/>
        </w:rPr>
        <w:t>Consistent REST endpoint naming under /api.</w:t>
      </w:r>
    </w:p>
    <w:p>
      <w:pPr>
        <w:pStyle w:val="ListBullet"/>
        <w:spacing w:line="264" w:lineRule="auto" w:after="60"/>
      </w:pPr>
      <w:r>
        <w:rPr>
          <w:rFonts w:ascii="Times New Roman" w:hAnsi="Times New Roman"/>
          <w:sz w:val="24"/>
        </w:rPr>
        <w:t>Responsive card-based interface with reusable CSS classes.</w:t>
      </w:r>
    </w:p>
    <w:p>
      <w:pPr>
        <w:pStyle w:val="ListBullet"/>
        <w:spacing w:line="264" w:lineRule="auto" w:after="60"/>
      </w:pPr>
      <w:r>
        <w:rPr>
          <w:rFonts w:ascii="Times New Roman" w:hAnsi="Times New Roman"/>
          <w:sz w:val="24"/>
        </w:rPr>
        <w:t>Consistent authentication middleware for protected resources.</w:t>
      </w:r>
    </w:p>
    <w:p>
      <w:pPr>
        <w:pStyle w:val="ListBullet"/>
        <w:spacing w:line="264" w:lineRule="auto" w:after="60"/>
      </w:pPr>
      <w:r>
        <w:rPr>
          <w:rFonts w:ascii="Times New Roman" w:hAnsi="Times New Roman"/>
          <w:sz w:val="24"/>
        </w:rPr>
        <w:t>Relational foreign keys using user_id for user-owned data.</w:t>
      </w:r>
    </w:p>
    <w:p>
      <w:pPr>
        <w:pStyle w:val="ListBullet"/>
        <w:spacing w:line="264" w:lineRule="auto" w:after="60"/>
      </w:pPr>
      <w:r>
        <w:rPr>
          <w:rFonts w:ascii="Times New Roman" w:hAnsi="Times New Roman"/>
          <w:sz w:val="24"/>
        </w:rPr>
        <w:t>Use of environment variables for secrets and deployment configuration.</w:t>
      </w:r>
    </w:p>
    <w:p>
      <w:pPr>
        <w:pStyle w:val="ListBullet"/>
        <w:spacing w:line="264" w:lineRule="auto" w:after="60"/>
      </w:pPr>
      <w:r>
        <w:rPr>
          <w:rFonts w:ascii="Times New Roman" w:hAnsi="Times New Roman"/>
          <w:sz w:val="24"/>
        </w:rPr>
        <w:t>Use of clear status messages and JSON responses for API operations.</w:t>
      </w:r>
    </w:p>
    <w:p>
      <w:pPr>
        <w:pStyle w:val="Heading2"/>
      </w:pPr>
      <w:r>
        <w:rPr>
          <w:rFonts w:ascii="Times New Roman" w:hAnsi="Times New Roman"/>
          <w:b/>
        </w:rPr>
        <w:t>5.2 Coding Standards</w:t>
      </w:r>
    </w:p>
    <w:p>
      <w:pPr>
        <w:pStyle w:val="ListBullet"/>
        <w:spacing w:line="264" w:lineRule="auto" w:after="60"/>
      </w:pPr>
      <w:r>
        <w:rPr>
          <w:rFonts w:ascii="Times New Roman" w:hAnsi="Times New Roman"/>
          <w:sz w:val="24"/>
        </w:rPr>
        <w:t>JavaScript functions use descriptive names such as loadDashboardData, runRegretPredictor and addDreamGoal.</w:t>
      </w:r>
    </w:p>
    <w:p>
      <w:pPr>
        <w:pStyle w:val="ListBullet"/>
        <w:spacing w:line="264" w:lineRule="auto" w:after="60"/>
      </w:pPr>
      <w:r>
        <w:rPr>
          <w:rFonts w:ascii="Times New Roman" w:hAnsi="Times New Roman"/>
          <w:sz w:val="24"/>
        </w:rPr>
        <w:t>Database parameters are passed separately from SQL strings through the query wrapper.</w:t>
      </w:r>
    </w:p>
    <w:p>
      <w:pPr>
        <w:pStyle w:val="ListBullet"/>
        <w:spacing w:line="264" w:lineRule="auto" w:after="60"/>
      </w:pPr>
      <w:r>
        <w:rPr>
          <w:rFonts w:ascii="Times New Roman" w:hAnsi="Times New Roman"/>
          <w:sz w:val="24"/>
        </w:rPr>
        <w:t>Route modules are grouped by functional responsibility.</w:t>
      </w:r>
    </w:p>
    <w:p>
      <w:pPr>
        <w:pStyle w:val="ListBullet"/>
        <w:spacing w:line="264" w:lineRule="auto" w:after="60"/>
      </w:pPr>
      <w:r>
        <w:rPr>
          <w:rFonts w:ascii="Times New Roman" w:hAnsi="Times New Roman"/>
          <w:sz w:val="24"/>
        </w:rPr>
        <w:t>Error handling uses try/catch blocks in asynchronous route handlers.</w:t>
      </w:r>
    </w:p>
    <w:p>
      <w:pPr>
        <w:pStyle w:val="ListBullet"/>
        <w:spacing w:line="264" w:lineRule="auto" w:after="60"/>
      </w:pPr>
      <w:r>
        <w:rPr>
          <w:rFonts w:ascii="Times New Roman" w:hAnsi="Times New Roman"/>
          <w:sz w:val="24"/>
        </w:rPr>
        <w:t>Configuration secrets are excluded through .gitignore and represented through .env.example.</w:t>
      </w:r>
    </w:p>
    <w:p>
      <w:pPr>
        <w:pStyle w:val="ListBullet"/>
        <w:spacing w:line="264" w:lineRule="auto" w:after="60"/>
      </w:pPr>
      <w:r>
        <w:rPr>
          <w:rFonts w:ascii="Times New Roman" w:hAnsi="Times New Roman"/>
          <w:sz w:val="24"/>
        </w:rPr>
        <w:t>Comments are used to identify major API modules and business-logic sections.</w:t>
      </w:r>
    </w:p>
    <w:p>
      <w:pPr>
        <w:pStyle w:val="Heading2"/>
      </w:pPr>
      <w:r>
        <w:rPr>
          <w:rFonts w:ascii="Times New Roman" w:hAnsi="Times New Roman"/>
          <w:b/>
        </w:rPr>
        <w:t>5.3 Testing Standards</w:t>
      </w:r>
    </w:p>
    <w:p>
      <w:pPr>
        <w:pStyle w:val="ListBullet"/>
        <w:spacing w:line="264" w:lineRule="auto" w:after="60"/>
      </w:pPr>
      <w:r>
        <w:rPr>
          <w:rFonts w:ascii="Times New Roman" w:hAnsi="Times New Roman"/>
          <w:sz w:val="24"/>
        </w:rPr>
        <w:t>Authentication tests verify protected access and account cleanup.</w:t>
      </w:r>
    </w:p>
    <w:p>
      <w:pPr>
        <w:pStyle w:val="ListBullet"/>
        <w:spacing w:line="264" w:lineRule="auto" w:after="60"/>
      </w:pPr>
      <w:r>
        <w:rPr>
          <w:rFonts w:ascii="Times New Roman" w:hAnsi="Times New Roman"/>
          <w:sz w:val="24"/>
        </w:rPr>
        <w:t>CRUD tests verify that records can be created, retrieved, modified and deleted.</w:t>
      </w:r>
    </w:p>
    <w:p>
      <w:pPr>
        <w:pStyle w:val="ListBullet"/>
        <w:spacing w:line="264" w:lineRule="auto" w:after="60"/>
      </w:pPr>
      <w:r>
        <w:rPr>
          <w:rFonts w:ascii="Times New Roman" w:hAnsi="Times New Roman"/>
          <w:sz w:val="24"/>
        </w:rPr>
        <w:t>AI tests verify response structure and core outputs.</w:t>
      </w:r>
    </w:p>
    <w:p>
      <w:pPr>
        <w:pStyle w:val="ListBullet"/>
        <w:spacing w:line="264" w:lineRule="auto" w:after="60"/>
      </w:pPr>
      <w:r>
        <w:rPr>
          <w:rFonts w:ascii="Times New Roman" w:hAnsi="Times New Roman"/>
          <w:sz w:val="24"/>
        </w:rPr>
        <w:t>Integration tests verify multi-step workflows across modules.</w:t>
      </w:r>
    </w:p>
    <w:p>
      <w:pPr>
        <w:pStyle w:val="ListBullet"/>
        <w:spacing w:line="264" w:lineRule="auto" w:after="60"/>
      </w:pPr>
      <w:r>
        <w:rPr>
          <w:rFonts w:ascii="Times New Roman" w:hAnsi="Times New Roman"/>
          <w:sz w:val="24"/>
        </w:rPr>
        <w:t>Browser tests verify important frontend navigation and interaction paths.</w:t>
      </w:r>
    </w:p>
    <w:p>
      <w:pPr>
        <w:pStyle w:val="ListBullet"/>
        <w:spacing w:line="264" w:lineRule="auto" w:after="60"/>
      </w:pPr>
      <w:r>
        <w:rPr>
          <w:rFonts w:ascii="Times New Roman" w:hAnsi="Times New Roman"/>
          <w:sz w:val="24"/>
        </w:rPr>
        <w:t>Final deployment testing should include persistent database behavior and user isolation.</w:t>
      </w:r>
    </w:p>
    <w:p>
      <w:r>
        <w:br w:type="page"/>
      </w:r>
    </w:p>
    <w:p>
      <w:pPr>
        <w:pStyle w:val="Heading1"/>
        <w:spacing w:before="160" w:after="160"/>
        <w:jc w:val="left"/>
      </w:pPr>
      <w:r>
        <w:rPr>
          <w:rFonts w:ascii="Times New Roman" w:hAnsi="Times New Roman"/>
          <w:b/>
        </w:rPr>
        <w:t>Chapter 6</w:t>
      </w:r>
    </w:p>
    <w:p>
      <w:pPr>
        <w:pStyle w:val="Heading1"/>
        <w:spacing w:before="160" w:after="160"/>
        <w:jc w:val="left"/>
      </w:pPr>
      <w:r>
        <w:rPr>
          <w:rFonts w:ascii="Times New Roman" w:hAnsi="Times New Roman"/>
          <w:b/>
        </w:rPr>
        <w:t>Conclusion and Future Scope</w:t>
      </w:r>
    </w:p>
    <w:p>
      <w:pPr>
        <w:pStyle w:val="Heading2"/>
      </w:pPr>
      <w:r>
        <w:rPr>
          <w:rFonts w:ascii="Times New Roman" w:hAnsi="Times New Roman"/>
          <w:b/>
        </w:rPr>
        <w:t>6.1 Conclusion</w:t>
      </w:r>
    </w:p>
    <w:p>
      <w:pPr>
        <w:spacing w:line="276" w:lineRule="auto" w:after="120"/>
        <w:ind w:firstLine="360"/>
      </w:pPr>
      <w:r>
        <w:rPr>
          <w:rFonts w:ascii="Times New Roman" w:hAnsi="Times New Roman"/>
          <w:sz w:val="24"/>
        </w:rPr>
        <w:t>PennyWise brings together personal finance tracking, behavioral decision support and gamification in a single full-stack web application. The current project contains a broad relational data model, JWT-protected APIs, a dynamic browser interface, AI-style behavioral calculations, Dream Savings Goals, subscription analysis, gamification and PDF reporting.</w:t>
      </w:r>
    </w:p>
    <w:p>
      <w:pPr>
        <w:spacing w:line="276" w:lineRule="auto" w:after="120"/>
        <w:ind w:firstLine="360"/>
      </w:pPr>
      <w:r>
        <w:rPr>
          <w:rFonts w:ascii="Times New Roman" w:hAnsi="Times New Roman"/>
          <w:sz w:val="24"/>
        </w:rPr>
        <w:t>A key strength of the project is that several behavioral features are transparent and explainable. For example, the Regret Predictor exposes its contributing risk components, while the financial health score is calculated from identifiable financial and behavioral indicators. This makes the system easier to understand than a completely opaque recommendation mechanism.</w:t>
      </w:r>
    </w:p>
    <w:p>
      <w:pPr>
        <w:spacing w:line="276" w:lineRule="auto" w:after="120"/>
        <w:ind w:firstLine="360"/>
      </w:pPr>
      <w:r>
        <w:rPr>
          <w:rFonts w:ascii="Times New Roman" w:hAnsi="Times New Roman"/>
          <w:sz w:val="24"/>
        </w:rPr>
        <w:t>The production architecture is designed to move persistent data from local SQLite storage to PostgreSQL/Neon and deploy the application through Vercel. The final deployment status, production URL, migration verification and end-to-end acceptance results should be inserted after those steps are completed.</w:t>
      </w:r>
    </w:p>
    <w:p>
      <w:pPr>
        <w:pStyle w:val="Heading2"/>
      </w:pPr>
      <w:r>
        <w:rPr>
          <w:rFonts w:ascii="Times New Roman" w:hAnsi="Times New Roman"/>
          <w:b/>
        </w:rPr>
        <w:t>6.2 Future Scope</w:t>
      </w:r>
    </w:p>
    <w:p>
      <w:pPr>
        <w:pStyle w:val="ListBullet"/>
        <w:spacing w:line="264" w:lineRule="auto" w:after="60"/>
      </w:pPr>
      <w:r>
        <w:rPr>
          <w:rFonts w:ascii="Times New Roman" w:hAnsi="Times New Roman"/>
          <w:sz w:val="24"/>
        </w:rPr>
        <w:t>Complete and verify the Vercel + Neon production deployment and automated deployment pipeline.</w:t>
      </w:r>
    </w:p>
    <w:p>
      <w:pPr>
        <w:pStyle w:val="ListBullet"/>
        <w:spacing w:line="264" w:lineRule="auto" w:after="60"/>
      </w:pPr>
      <w:r>
        <w:rPr>
          <w:rFonts w:ascii="Times New Roman" w:hAnsi="Times New Roman"/>
          <w:sz w:val="24"/>
        </w:rPr>
        <w:t>Introduce a dedicated serverless-safe database access pattern and optimize connection pooling for high concurrency.</w:t>
      </w:r>
    </w:p>
    <w:p>
      <w:pPr>
        <w:pStyle w:val="ListBullet"/>
        <w:spacing w:line="264" w:lineRule="auto" w:after="60"/>
      </w:pPr>
      <w:r>
        <w:rPr>
          <w:rFonts w:ascii="Times New Roman" w:hAnsi="Times New Roman"/>
          <w:sz w:val="24"/>
        </w:rPr>
        <w:t>Replace selected rule-based components with trained machine-learning models after collecting sufficient user-consented data.</w:t>
      </w:r>
    </w:p>
    <w:p>
      <w:pPr>
        <w:pStyle w:val="ListBullet"/>
        <w:spacing w:line="264" w:lineRule="auto" w:after="60"/>
      </w:pPr>
      <w:r>
        <w:rPr>
          <w:rFonts w:ascii="Times New Roman" w:hAnsi="Times New Roman"/>
          <w:sz w:val="24"/>
        </w:rPr>
        <w:t>Add stronger personalized learning to the Regret Predictor using historical purchase feedback.</w:t>
      </w:r>
    </w:p>
    <w:p>
      <w:pPr>
        <w:pStyle w:val="ListBullet"/>
        <w:spacing w:line="264" w:lineRule="auto" w:after="60"/>
      </w:pPr>
      <w:r>
        <w:rPr>
          <w:rFonts w:ascii="Times New Roman" w:hAnsi="Times New Roman"/>
          <w:sz w:val="24"/>
        </w:rPr>
        <w:t>Expand receipt OCR and price-watch functionality if these modules are retained in the final product scope.</w:t>
      </w:r>
    </w:p>
    <w:p>
      <w:pPr>
        <w:pStyle w:val="ListBullet"/>
        <w:spacing w:line="264" w:lineRule="auto" w:after="60"/>
      </w:pPr>
      <w:r>
        <w:rPr>
          <w:rFonts w:ascii="Times New Roman" w:hAnsi="Times New Roman"/>
          <w:sz w:val="24"/>
        </w:rPr>
        <w:t>Add more advanced spending forecasts and anomaly detection.</w:t>
      </w:r>
    </w:p>
    <w:p>
      <w:pPr>
        <w:pStyle w:val="ListBullet"/>
        <w:spacing w:line="264" w:lineRule="auto" w:after="60"/>
      </w:pPr>
      <w:r>
        <w:rPr>
          <w:rFonts w:ascii="Times New Roman" w:hAnsi="Times New Roman"/>
          <w:sz w:val="24"/>
        </w:rPr>
        <w:t>Introduce mobile/PWA support.</w:t>
      </w:r>
    </w:p>
    <w:p>
      <w:pPr>
        <w:pStyle w:val="ListBullet"/>
        <w:spacing w:line="264" w:lineRule="auto" w:after="60"/>
      </w:pPr>
      <w:r>
        <w:rPr>
          <w:rFonts w:ascii="Times New Roman" w:hAnsi="Times New Roman"/>
          <w:sz w:val="24"/>
        </w:rPr>
        <w:t>Add stronger privacy controls, data export and consent management.</w:t>
      </w:r>
    </w:p>
    <w:p>
      <w:pPr>
        <w:pStyle w:val="ListBullet"/>
        <w:spacing w:line="264" w:lineRule="auto" w:after="60"/>
      </w:pPr>
      <w:r>
        <w:rPr>
          <w:rFonts w:ascii="Times New Roman" w:hAnsi="Times New Roman"/>
          <w:sz w:val="24"/>
        </w:rPr>
        <w:t>Add more detailed admin analytics if an administrative role is required.</w:t>
      </w:r>
    </w:p>
    <w:p>
      <w:pPr>
        <w:pStyle w:val="ListBullet"/>
        <w:spacing w:line="264" w:lineRule="auto" w:after="60"/>
      </w:pPr>
      <w:r>
        <w:rPr>
          <w:rFonts w:ascii="Times New Roman" w:hAnsi="Times New Roman"/>
          <w:sz w:val="24"/>
        </w:rPr>
        <w:t>Improve test coverage for production database migration and multi-user isolation.</w:t>
      </w:r>
    </w:p>
    <w:p>
      <w:r>
        <w:br w:type="page"/>
      </w:r>
    </w:p>
    <w:p>
      <w:pPr>
        <w:pStyle w:val="Heading1"/>
        <w:spacing w:before="160" w:after="160"/>
        <w:jc w:val="left"/>
      </w:pPr>
      <w:r>
        <w:rPr>
          <w:rFonts w:ascii="Times New Roman" w:hAnsi="Times New Roman"/>
          <w:b/>
        </w:rPr>
        <w:t>References</w:t>
      </w:r>
    </w:p>
    <w:p>
      <w:pPr>
        <w:spacing w:line="276" w:lineRule="auto" w:after="120"/>
        <w:ind w:firstLine="360"/>
      </w:pPr>
      <w:r>
        <w:rPr>
          <w:rFonts w:ascii="Times New Roman" w:hAnsi="Times New Roman"/>
          <w:sz w:val="24"/>
        </w:rPr>
        <w:t>[1] Node.js Documentation — https://nodejs.org/docs/latest (Accessed: August 2026).</w:t>
      </w:r>
    </w:p>
    <w:p>
      <w:pPr>
        <w:spacing w:line="276" w:lineRule="auto" w:after="120"/>
        <w:ind w:firstLine="360"/>
      </w:pPr>
      <w:r>
        <w:rPr>
          <w:rFonts w:ascii="Times New Roman" w:hAnsi="Times New Roman"/>
          <w:sz w:val="24"/>
        </w:rPr>
        <w:t>[2] Express.js Documentation — https://expressjs.com (Accessed: August 2026).</w:t>
      </w:r>
    </w:p>
    <w:p>
      <w:pPr>
        <w:spacing w:line="276" w:lineRule="auto" w:after="120"/>
        <w:ind w:firstLine="360"/>
      </w:pPr>
      <w:r>
        <w:rPr>
          <w:rFonts w:ascii="Times New Roman" w:hAnsi="Times New Roman"/>
          <w:sz w:val="24"/>
        </w:rPr>
        <w:t>[3] PostgreSQL Documentation — https://www.postgresql.org/docs/ (Accessed: August 2026).</w:t>
      </w:r>
    </w:p>
    <w:p>
      <w:pPr>
        <w:spacing w:line="276" w:lineRule="auto" w:after="120"/>
        <w:ind w:firstLine="360"/>
      </w:pPr>
      <w:r>
        <w:rPr>
          <w:rFonts w:ascii="Times New Roman" w:hAnsi="Times New Roman"/>
          <w:sz w:val="24"/>
        </w:rPr>
        <w:t>[4] Neon PostgreSQL Documentation — https://neon.tech/docs (Accessed: August 2026).</w:t>
      </w:r>
    </w:p>
    <w:p>
      <w:pPr>
        <w:spacing w:line="276" w:lineRule="auto" w:after="120"/>
        <w:ind w:firstLine="360"/>
      </w:pPr>
      <w:r>
        <w:rPr>
          <w:rFonts w:ascii="Times New Roman" w:hAnsi="Times New Roman"/>
          <w:sz w:val="24"/>
        </w:rPr>
        <w:t>[5] Vercel Documentation — https://vercel.com/docs (Accessed: August 2026).</w:t>
      </w:r>
    </w:p>
    <w:p>
      <w:pPr>
        <w:spacing w:line="276" w:lineRule="auto" w:after="120"/>
        <w:ind w:firstLine="360"/>
      </w:pPr>
      <w:r>
        <w:rPr>
          <w:rFonts w:ascii="Times New Roman" w:hAnsi="Times New Roman"/>
          <w:sz w:val="24"/>
        </w:rPr>
        <w:t>[6] IETF RFC 7519 — JSON Web Token (JWT) Specification (2015).</w:t>
      </w:r>
    </w:p>
    <w:p>
      <w:pPr>
        <w:spacing w:line="276" w:lineRule="auto" w:after="120"/>
        <w:ind w:firstLine="360"/>
      </w:pPr>
      <w:r>
        <w:rPr>
          <w:rFonts w:ascii="Times New Roman" w:hAnsi="Times New Roman"/>
          <w:sz w:val="24"/>
        </w:rPr>
        <w:t>[7] Chart.js Data Visualization Library — https://www.chartjs.org (Accessed: August 2026).</w:t>
      </w:r>
    </w:p>
    <w:p>
      <w:pPr>
        <w:spacing w:line="276" w:lineRule="auto" w:after="120"/>
        <w:ind w:firstLine="360"/>
      </w:pPr>
      <w:r>
        <w:rPr>
          <w:rFonts w:ascii="Times New Roman" w:hAnsi="Times New Roman"/>
          <w:sz w:val="24"/>
        </w:rPr>
        <w:t>[8] PDFKit JavaScript PDF Generation Library — https://pdfkit.org (Accessed: August 2026).</w:t>
      </w:r>
    </w:p>
    <w:p>
      <w:pPr>
        <w:spacing w:line="276" w:lineRule="auto" w:after="120"/>
        <w:ind w:firstLine="360"/>
      </w:pPr>
      <w:r>
        <w:rPr>
          <w:rFonts w:ascii="Times New Roman" w:hAnsi="Times New Roman"/>
          <w:sz w:val="24"/>
        </w:rPr>
        <w:t>[9] bcrypt Password-Hashing Algorithm Documentation (Accessed: August 2026).</w:t>
      </w:r>
    </w:p>
    <w:p>
      <w:pPr>
        <w:spacing w:line="276" w:lineRule="auto" w:after="120"/>
        <w:ind w:firstLine="360"/>
      </w:pPr>
      <w:r>
        <w:rPr>
          <w:rFonts w:ascii="Times New Roman" w:hAnsi="Times New Roman"/>
          <w:sz w:val="24"/>
        </w:rPr>
        <w:t>[10] Behavioral Economics in Personal Financial Decision Support (IEEE &amp; ACM Literature Survey, 2024).</w:t>
      </w:r>
    </w:p>
    <w:p>
      <w:pPr>
        <w:spacing w:line="276" w:lineRule="auto" w:after="120"/>
        <w:ind w:firstLine="360"/>
      </w:pPr>
      <w:r>
        <w:rPr>
          <w:rFonts w:ascii="Times New Roman" w:hAnsi="Times New Roman"/>
          <w:sz w:val="24"/>
        </w:rPr>
        <w:t>Note: The reference list is intentionally left partly as placeholders because the supplied project files do not contain a finalized academic reference list. Replace these entries with the exact sources actually consulted.</w:t>
      </w:r>
    </w:p>
    <w:p>
      <w:r>
        <w:br w:type="page"/>
      </w:r>
    </w:p>
    <w:p>
      <w:pPr>
        <w:pStyle w:val="Heading1"/>
        <w:spacing w:before="160" w:after="160"/>
        <w:jc w:val="left"/>
      </w:pPr>
      <w:r>
        <w:rPr>
          <w:rFonts w:ascii="Times New Roman" w:hAnsi="Times New Roman"/>
          <w:b/>
        </w:rPr>
        <w:t>Final Submission Checklist</w:t>
      </w:r>
    </w:p>
    <w:p>
      <w:pPr>
        <w:spacing w:line="276" w:lineRule="auto" w:after="120"/>
        <w:ind w:firstLine="360"/>
      </w:pPr>
      <w:r>
        <w:rPr>
          <w:rFonts w:ascii="Times New Roman" w:hAnsi="Times New Roman"/>
          <w:sz w:val="24"/>
        </w:rPr>
        <w:t>This checklist is included for final editing and should be removed if the department does not require it.</w:t>
      </w:r>
    </w:p>
    <w:p>
      <w:pPr>
        <w:pStyle w:val="ListBullet"/>
        <w:spacing w:line="264" w:lineRule="auto" w:after="60"/>
      </w:pPr>
      <w:r>
        <w:rPr>
          <w:rFonts w:ascii="Times New Roman" w:hAnsi="Times New Roman"/>
          <w:sz w:val="24"/>
        </w:rPr>
        <w:t>Replace Sneha and 2105152004.</w:t>
      </w:r>
    </w:p>
    <w:p>
      <w:pPr>
        <w:pStyle w:val="ListBullet"/>
        <w:spacing w:line="264" w:lineRule="auto" w:after="60"/>
      </w:pPr>
      <w:r>
        <w:rPr>
          <w:rFonts w:ascii="Times New Roman" w:hAnsi="Times New Roman"/>
          <w:sz w:val="24"/>
        </w:rPr>
        <w:t>Add supervisor/guide information only if the department requires it; otherwise keep the individual-project wording.</w:t>
      </w:r>
    </w:p>
    <w:p>
      <w:pPr>
        <w:pStyle w:val="ListBullet"/>
        <w:spacing w:line="264" w:lineRule="auto" w:after="60"/>
      </w:pPr>
      <w:r>
        <w:rPr>
          <w:rFonts w:ascii="Times New Roman" w:hAnsi="Times New Roman"/>
          <w:sz w:val="24"/>
        </w:rPr>
        <w:t>Insert final system architecture, use case, ER and data-flow diagrams.</w:t>
      </w:r>
    </w:p>
    <w:p>
      <w:pPr>
        <w:pStyle w:val="ListBullet"/>
        <w:spacing w:line="264" w:lineRule="auto" w:after="60"/>
      </w:pPr>
      <w:r>
        <w:rPr>
          <w:rFonts w:ascii="Times New Roman" w:hAnsi="Times New Roman"/>
          <w:sz w:val="24"/>
        </w:rPr>
        <w:t>Insert screenshots from the final deployed PennyWise application in the marked spaces.</w:t>
      </w:r>
    </w:p>
    <w:p>
      <w:pPr>
        <w:pStyle w:val="ListBullet"/>
        <w:spacing w:line="264" w:lineRule="auto" w:after="60"/>
      </w:pPr>
      <w:r>
        <w:rPr>
          <w:rFonts w:ascii="Times New Roman" w:hAnsi="Times New Roman"/>
          <w:sz w:val="24"/>
        </w:rPr>
        <w:t>Insert the final GitHub repository and Vercel URL.</w:t>
      </w:r>
    </w:p>
    <w:p>
      <w:pPr>
        <w:pStyle w:val="ListBullet"/>
        <w:spacing w:line="264" w:lineRule="auto" w:after="60"/>
      </w:pPr>
      <w:r>
        <w:rPr>
          <w:rFonts w:ascii="Times New Roman" w:hAnsi="Times New Roman"/>
          <w:sz w:val="24"/>
        </w:rPr>
        <w:t>Confirm Neon PostgreSQL migration and record final deployment verification results.</w:t>
      </w:r>
    </w:p>
    <w:p>
      <w:pPr>
        <w:pStyle w:val="ListBullet"/>
        <w:spacing w:line="264" w:lineRule="auto" w:after="60"/>
      </w:pPr>
      <w:r>
        <w:rPr>
          <w:rFonts w:ascii="Times New Roman" w:hAnsi="Times New Roman"/>
          <w:sz w:val="24"/>
        </w:rPr>
        <w:t>Run the complete automated test suite against the final code.</w:t>
      </w:r>
    </w:p>
    <w:p>
      <w:pPr>
        <w:pStyle w:val="ListBullet"/>
        <w:spacing w:line="264" w:lineRule="auto" w:after="60"/>
      </w:pPr>
      <w:r>
        <w:rPr>
          <w:rFonts w:ascii="Times New Roman" w:hAnsi="Times New Roman"/>
          <w:sz w:val="24"/>
        </w:rPr>
        <w:t>Perform manual tests for authentication, expenses, Dream Goals, subscriptions, reports, AI features and user isolation.</w:t>
      </w:r>
    </w:p>
    <w:p>
      <w:pPr>
        <w:pStyle w:val="ListBullet"/>
        <w:spacing w:line="264" w:lineRule="auto" w:after="60"/>
      </w:pPr>
      <w:r>
        <w:rPr>
          <w:rFonts w:ascii="Times New Roman" w:hAnsi="Times New Roman"/>
          <w:sz w:val="24"/>
        </w:rPr>
        <w:t>Update the Contents and List of Figures page numbers in Word.</w:t>
      </w:r>
    </w:p>
    <w:p>
      <w:pPr>
        <w:pStyle w:val="ListBullet"/>
        <w:spacing w:line="264" w:lineRule="auto" w:after="60"/>
      </w:pPr>
      <w:r>
        <w:rPr>
          <w:rFonts w:ascii="Times New Roman" w:hAnsi="Times New Roman"/>
          <w:sz w:val="24"/>
        </w:rPr>
        <w:t>Add the exact references actually used.</w:t>
      </w:r>
    </w:p>
    <w:p>
      <w:pPr>
        <w:pStyle w:val="ListBullet"/>
        <w:spacing w:line="264" w:lineRule="auto" w:after="60"/>
      </w:pPr>
      <w:r>
        <w:rPr>
          <w:rFonts w:ascii="Times New Roman" w:hAnsi="Times New Roman"/>
          <w:sz w:val="24"/>
        </w:rPr>
        <w:t>Do not add a group contribution section or plagiarism report, as requested.</w:t>
      </w:r>
    </w:p>
    <w:sectPr w:rsidR="00FC693F" w:rsidRPr="0006063C" w:rsidSect="00034616">
      <w:headerReference w:type="default" r:id="rId9"/>
      <w:footerReference w:type="default" r:id="rId10"/>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PENNYWISE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