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2440"/>
          <w:sz w:val="44"/>
        </w:rPr>
        <w:t>Evaluation Strategy &amp; Metric Report</w:t>
      </w:r>
    </w:p>
    <w:p>
      <w:pPr>
        <w:jc w:val="center"/>
      </w:pPr>
      <w:r>
        <w:rPr>
          <w:i/>
          <w:color w:val="505050"/>
          <w:sz w:val="26"/>
        </w:rPr>
        <w:t>Enterprise PII Redaction System (Red Herring Prospectus &amp; Log Redactor)</w:t>
      </w:r>
    </w:p>
    <w:p/>
    <w:tbl>
      <w:tblPr>
        <w:tblW w:type="auto" w:w="0"/>
        <w:jc w:val="center"/>
        <w:tblLook w:firstColumn="1" w:firstRow="1" w:lastColumn="0" w:lastRow="0" w:noHBand="0" w:noVBand="1" w:val="04A0"/>
      </w:tblPr>
      <w:tblGrid>
        <w:gridCol w:w="4968"/>
        <w:gridCol w:w="4968"/>
      </w:tblGrid>
      <w:tr>
        <w:tc>
          <w:tcPr>
            <w:tcW w:type="dxa" w:w="4968"/>
          </w:tcPr>
          <w:p>
            <w:r>
              <w:rPr>
                <w:b/>
              </w:rPr>
              <w:t>Target Document:</w:t>
            </w:r>
          </w:p>
        </w:tc>
        <w:tc>
          <w:tcPr>
            <w:tcW w:type="dxa" w:w="4968"/>
          </w:tcPr>
          <w:p>
            <w:r>
              <w:t>Red Herring Prospectus.docx (128 Pages, 1,006 Paragraphs, 76 Tables)</w:t>
            </w:r>
          </w:p>
        </w:tc>
      </w:tr>
      <w:tr>
        <w:tc>
          <w:tcPr>
            <w:tcW w:type="dxa" w:w="4968"/>
          </w:tcPr>
          <w:p>
            <w:r>
              <w:rPr>
                <w:b/>
              </w:rPr>
              <w:t>Author / Submitter:</w:t>
            </w:r>
          </w:p>
        </w:tc>
        <w:tc>
          <w:tcPr>
            <w:tcW w:type="dxa" w:w="4968"/>
          </w:tcPr>
          <w:p>
            <w:r>
              <w:t>Sneha</w:t>
            </w:r>
          </w:p>
        </w:tc>
      </w:tr>
      <w:tr>
        <w:tc>
          <w:tcPr>
            <w:tcW w:type="dxa" w:w="4968"/>
          </w:tcPr>
          <w:p>
            <w:r>
              <w:rPr>
                <w:b/>
              </w:rPr>
              <w:t>Date:</w:t>
            </w:r>
          </w:p>
        </w:tc>
        <w:tc>
          <w:tcPr>
            <w:tcW w:type="dxa" w:w="4968"/>
          </w:tcPr>
          <w:p>
            <w:r>
              <w:t>September 25, 2026</w:t>
            </w:r>
          </w:p>
        </w:tc>
      </w:tr>
      <w:tr>
        <w:tc>
          <w:tcPr>
            <w:tcW w:type="dxa" w:w="4968"/>
          </w:tcPr>
          <w:p>
            <w:r>
              <w:rPr>
                <w:b/>
              </w:rPr>
              <w:t>GitHub Repository:</w:t>
            </w:r>
          </w:p>
        </w:tc>
        <w:tc>
          <w:tcPr>
            <w:tcW w:type="dxa" w:w="4968"/>
          </w:tcPr>
          <w:p>
            <w:r>
              <w:t>https://github.com/Sneha2405/PII-Redaction-Tool</w:t>
            </w:r>
          </w:p>
        </w:tc>
      </w:tr>
    </w:tbl>
    <w:p/>
    <w:p>
      <w:pPr>
        <w:pStyle w:val="Heading1"/>
      </w:pPr>
      <w:r>
        <w:rPr>
          <w:b/>
          <w:color w:val="122440"/>
        </w:rPr>
        <w:t>1. Executive Summary &amp; Performance Scorecard</w:t>
      </w:r>
    </w:p>
    <w:p>
      <w:r>
        <w:t>This document presents the formal evaluation strategy, quantitative metric benchmarks, and verification methodology for the Enterprise PII Redaction Tool. The system was evaluated across two rigorous benchmark suites:</w:t>
      </w:r>
    </w:p>
    <w:p>
      <w:pPr>
        <w:pStyle w:val="ListBullet"/>
      </w:pPr>
      <w:r>
        <w:rPr>
          <w:b/>
        </w:rPr>
        <w:t xml:space="preserve">Full Document In-Sample Benchmark: </w:t>
      </w:r>
      <w:r>
        <w:t>Evaluates all 3,036 PII entities and embedded media images in the 128-page Red Herring Prospectus Word Document.</w:t>
      </w:r>
    </w:p>
    <w:p>
      <w:pPr>
        <w:pStyle w:val="ListBullet"/>
      </w:pPr>
      <w:r>
        <w:rPr>
          <w:b/>
        </w:rPr>
        <w:t xml:space="preserve">Fresh Out-of-Sample Benchmark: </w:t>
      </w:r>
      <w:r>
        <w:t>Evaluates generalizability across 10 unseen real-world enterprise log samples containing mixed Indian and international PII.</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Metric</w:t>
            </w:r>
          </w:p>
        </w:tc>
        <w:tc>
          <w:tcPr>
            <w:tcW w:type="dxa" w:w="1987"/>
          </w:tcPr>
          <w:p>
            <w:r>
              <w:rPr>
                <w:b/>
              </w:rPr>
              <w:t>Full Prospectus Document</w:t>
            </w:r>
          </w:p>
        </w:tc>
        <w:tc>
          <w:tcPr>
            <w:tcW w:type="dxa" w:w="1987"/>
          </w:tcPr>
          <w:p>
            <w:r>
              <w:rPr>
                <w:b/>
              </w:rPr>
              <w:t>Out-of-Sample Benchmark</w:t>
            </w:r>
          </w:p>
        </w:tc>
        <w:tc>
          <w:tcPr>
            <w:tcW w:type="dxa" w:w="1987"/>
          </w:tcPr>
          <w:p>
            <w:r>
              <w:rPr>
                <w:b/>
              </w:rPr>
              <w:t>Target Threshold</w:t>
            </w:r>
          </w:p>
        </w:tc>
        <w:tc>
          <w:tcPr>
            <w:tcW w:type="dxa" w:w="1987"/>
          </w:tcPr>
          <w:p>
            <w:r>
              <w:rPr>
                <w:b/>
              </w:rPr>
              <w:t>Status</w:t>
            </w:r>
          </w:p>
        </w:tc>
      </w:tr>
      <w:tr>
        <w:tc>
          <w:tcPr>
            <w:tcW w:type="dxa" w:w="1987"/>
          </w:tcPr>
          <w:p>
            <w:r>
              <w:t>Precision</w:t>
            </w:r>
          </w:p>
        </w:tc>
        <w:tc>
          <w:tcPr>
            <w:tcW w:type="dxa" w:w="1987"/>
          </w:tcPr>
          <w:p>
            <w:r>
              <w:t>100.00%</w:t>
            </w:r>
          </w:p>
        </w:tc>
        <w:tc>
          <w:tcPr>
            <w:tcW w:type="dxa" w:w="1987"/>
          </w:tcPr>
          <w:p>
            <w:r>
              <w:t>100.00%</w:t>
            </w:r>
          </w:p>
        </w:tc>
        <w:tc>
          <w:tcPr>
            <w:tcW w:type="dxa" w:w="1987"/>
          </w:tcPr>
          <w:p>
            <w:r>
              <w:t>&gt;= 95.0%</w:t>
            </w:r>
          </w:p>
        </w:tc>
        <w:tc>
          <w:tcPr>
            <w:tcW w:type="dxa" w:w="1987"/>
          </w:tcPr>
          <w:p>
            <w:r>
              <w:rPr>
                <w:b/>
                <w:color w:val="008000"/>
              </w:rPr>
              <w:t>PASSED</w:t>
            </w:r>
          </w:p>
        </w:tc>
      </w:tr>
      <w:tr>
        <w:tc>
          <w:tcPr>
            <w:tcW w:type="dxa" w:w="1987"/>
          </w:tcPr>
          <w:p>
            <w:r>
              <w:t>Recall</w:t>
            </w:r>
          </w:p>
        </w:tc>
        <w:tc>
          <w:tcPr>
            <w:tcW w:type="dxa" w:w="1987"/>
          </w:tcPr>
          <w:p>
            <w:r>
              <w:t>100.00%</w:t>
            </w:r>
          </w:p>
        </w:tc>
        <w:tc>
          <w:tcPr>
            <w:tcW w:type="dxa" w:w="1987"/>
          </w:tcPr>
          <w:p>
            <w:r>
              <w:t>100.00%</w:t>
            </w:r>
          </w:p>
        </w:tc>
        <w:tc>
          <w:tcPr>
            <w:tcW w:type="dxa" w:w="1987"/>
          </w:tcPr>
          <w:p>
            <w:r>
              <w:t>&gt;= 95.0%</w:t>
            </w:r>
          </w:p>
        </w:tc>
        <w:tc>
          <w:tcPr>
            <w:tcW w:type="dxa" w:w="1987"/>
          </w:tcPr>
          <w:p>
            <w:r>
              <w:rPr>
                <w:b/>
                <w:color w:val="008000"/>
              </w:rPr>
              <w:t>PASSED</w:t>
            </w:r>
          </w:p>
        </w:tc>
      </w:tr>
      <w:tr>
        <w:tc>
          <w:tcPr>
            <w:tcW w:type="dxa" w:w="1987"/>
          </w:tcPr>
          <w:p>
            <w:r>
              <w:t>F1-Score</w:t>
            </w:r>
          </w:p>
        </w:tc>
        <w:tc>
          <w:tcPr>
            <w:tcW w:type="dxa" w:w="1987"/>
          </w:tcPr>
          <w:p>
            <w:r>
              <w:t>100.00%</w:t>
            </w:r>
          </w:p>
        </w:tc>
        <w:tc>
          <w:tcPr>
            <w:tcW w:type="dxa" w:w="1987"/>
          </w:tcPr>
          <w:p>
            <w:r>
              <w:t>100.00%</w:t>
            </w:r>
          </w:p>
        </w:tc>
        <w:tc>
          <w:tcPr>
            <w:tcW w:type="dxa" w:w="1987"/>
          </w:tcPr>
          <w:p>
            <w:r>
              <w:t>&gt;= 95.0%</w:t>
            </w:r>
          </w:p>
        </w:tc>
        <w:tc>
          <w:tcPr>
            <w:tcW w:type="dxa" w:w="1987"/>
          </w:tcPr>
          <w:p>
            <w:r>
              <w:rPr>
                <w:b/>
                <w:color w:val="008000"/>
              </w:rPr>
              <w:t>PASSED</w:t>
            </w:r>
          </w:p>
        </w:tc>
      </w:tr>
      <w:tr>
        <w:tc>
          <w:tcPr>
            <w:tcW w:type="dxa" w:w="1987"/>
          </w:tcPr>
          <w:p>
            <w:r>
              <w:t>Accuracy</w:t>
            </w:r>
          </w:p>
        </w:tc>
        <w:tc>
          <w:tcPr>
            <w:tcW w:type="dxa" w:w="1987"/>
          </w:tcPr>
          <w:p>
            <w:r>
              <w:t>100.00%</w:t>
            </w:r>
          </w:p>
        </w:tc>
        <w:tc>
          <w:tcPr>
            <w:tcW w:type="dxa" w:w="1987"/>
          </w:tcPr>
          <w:p>
            <w:r>
              <w:t>100.00%</w:t>
            </w:r>
          </w:p>
        </w:tc>
        <w:tc>
          <w:tcPr>
            <w:tcW w:type="dxa" w:w="1987"/>
          </w:tcPr>
          <w:p>
            <w:r>
              <w:t>&gt;= 95.0%</w:t>
            </w:r>
          </w:p>
        </w:tc>
        <w:tc>
          <w:tcPr>
            <w:tcW w:type="dxa" w:w="1987"/>
          </w:tcPr>
          <w:p>
            <w:r>
              <w:rPr>
                <w:b/>
                <w:color w:val="008000"/>
              </w:rPr>
              <w:t>PASSED</w:t>
            </w:r>
          </w:p>
        </w:tc>
      </w:tr>
      <w:tr>
        <w:tc>
          <w:tcPr>
            <w:tcW w:type="dxa" w:w="1987"/>
          </w:tcPr>
          <w:p>
            <w:r>
              <w:t>Layout Preservation</w:t>
            </w:r>
          </w:p>
        </w:tc>
        <w:tc>
          <w:tcPr>
            <w:tcW w:type="dxa" w:w="1987"/>
          </w:tcPr>
          <w:p>
            <w:r>
              <w:t>100.00%</w:t>
            </w:r>
          </w:p>
        </w:tc>
        <w:tc>
          <w:tcPr>
            <w:tcW w:type="dxa" w:w="1987"/>
          </w:tcPr>
          <w:p>
            <w:r>
              <w:t>N/A</w:t>
            </w:r>
          </w:p>
        </w:tc>
        <w:tc>
          <w:tcPr>
            <w:tcW w:type="dxa" w:w="1987"/>
          </w:tcPr>
          <w:p>
            <w:r>
              <w:t>100.0%</w:t>
            </w:r>
          </w:p>
        </w:tc>
        <w:tc>
          <w:tcPr>
            <w:tcW w:type="dxa" w:w="1987"/>
          </w:tcPr>
          <w:p>
            <w:r>
              <w:rPr>
                <w:b/>
                <w:color w:val="008000"/>
              </w:rPr>
              <w:t>PASSED</w:t>
            </w:r>
          </w:p>
        </w:tc>
      </w:tr>
      <w:tr>
        <w:tc>
          <w:tcPr>
            <w:tcW w:type="dxa" w:w="1987"/>
          </w:tcPr>
          <w:p>
            <w:r>
              <w:t>Image Redactions</w:t>
            </w:r>
          </w:p>
        </w:tc>
        <w:tc>
          <w:tcPr>
            <w:tcW w:type="dxa" w:w="1987"/>
          </w:tcPr>
          <w:p>
            <w:r>
              <w:t>2 / 2 Images</w:t>
            </w:r>
          </w:p>
        </w:tc>
        <w:tc>
          <w:tcPr>
            <w:tcW w:type="dxa" w:w="1987"/>
          </w:tcPr>
          <w:p>
            <w:r>
              <w:t>N/A</w:t>
            </w:r>
          </w:p>
        </w:tc>
        <w:tc>
          <w:tcPr>
            <w:tcW w:type="dxa" w:w="1987"/>
          </w:tcPr>
          <w:p>
            <w:r>
              <w:t>100.0%</w:t>
            </w:r>
          </w:p>
        </w:tc>
        <w:tc>
          <w:tcPr>
            <w:tcW w:type="dxa" w:w="1987"/>
          </w:tcPr>
          <w:p>
            <w:r>
              <w:rPr>
                <w:b/>
                <w:color w:val="008000"/>
              </w:rPr>
              <w:t>PASSED</w:t>
            </w:r>
          </w:p>
        </w:tc>
      </w:tr>
    </w:tbl>
    <w:p/>
    <w:p>
      <w:pPr>
        <w:pStyle w:val="Heading1"/>
      </w:pPr>
      <w:r>
        <w:rPr>
          <w:b/>
          <w:color w:val="122440"/>
        </w:rPr>
        <w:t>2. Evaluation Strategy &amp; Methodology</w:t>
      </w:r>
    </w:p>
    <w:p>
      <w:r>
        <w:t>The evaluation strategy operates on three complementary tiers to ensure complete data loss prevention without over-redaction:</w:t>
      </w:r>
    </w:p>
    <w:p>
      <w:pPr>
        <w:pStyle w:val="ListBullet"/>
      </w:pPr>
      <w:r>
        <w:rPr>
          <w:b/>
        </w:rPr>
        <w:t xml:space="preserve">Tier 1: Document-Level Paragraph Matching: </w:t>
      </w:r>
      <w:r>
        <w:t>Compares the original .docx XML structure with the redacted .docx output. Verifies that every paragraph, table cell, header, and footer containing PII has been deterministically replaced while preserving font family, font size, bolding, and alignment.</w:t>
      </w:r>
    </w:p>
    <w:p>
      <w:pPr>
        <w:pStyle w:val="ListBullet"/>
      </w:pPr>
      <w:r>
        <w:rPr>
          <w:b/>
        </w:rPr>
        <w:t xml:space="preserve">Tier 2: Single-Pass Non-Overlapping Match Resolution: </w:t>
      </w:r>
      <w:r>
        <w:t>Eliminates false-positive cascade artifacts by sorting all entity candidate intervals by start position and merging overlapping spans before applying synthetic replacements.</w:t>
      </w:r>
    </w:p>
    <w:p>
      <w:pPr>
        <w:pStyle w:val="ListBullet"/>
      </w:pPr>
      <w:r>
        <w:rPr>
          <w:b/>
        </w:rPr>
        <w:t xml:space="preserve">Tier 3: Media Archive Binary Validation: </w:t>
      </w:r>
      <w:r>
        <w:t>Extracts embedded PNG media entries (image7.png PAN card &amp; image8.png Aadhaar card) directly from the .docx ZIP container and verifies pixel-level bounding box coverage.</w:t>
      </w:r>
    </w:p>
    <w:p/>
    <w:p>
      <w:pPr>
        <w:pStyle w:val="Heading1"/>
      </w:pPr>
      <w:r>
        <w:rPr>
          <w:b/>
          <w:color w:val="122440"/>
        </w:rPr>
        <w:t>3. Metric Definitions &amp; Mathematical Formulation</w:t>
      </w:r>
    </w:p>
    <w:p>
      <w:r>
        <w:t>Performance is measured using four standard quantitative metrics:</w:t>
      </w:r>
    </w:p>
    <w:p>
      <w:r>
        <w:rPr>
          <w:b/>
        </w:rPr>
        <w:t xml:space="preserve">1. Precision: </w:t>
      </w:r>
      <w:r>
        <w:t>Measures the proportion of correctly redacted PII entities relative to all redacted items, ensuring non-sensitive operational terms (e.g. Regulation 6(1), Section 32, ticket numbers) are not over-redacted.</w:t>
        <w:br/>
        <w:t>Precision = True Positives / (True Positives + False Positives)</w:t>
      </w:r>
    </w:p>
    <w:p>
      <w:r>
        <w:rPr>
          <w:b/>
        </w:rPr>
        <w:t xml:space="preserve">2. Recall: </w:t>
      </w:r>
      <w:r>
        <w:t>Measures the proportion of actual PII entities successfully detected and redacted.</w:t>
        <w:br/>
        <w:t>Recall = True Positives / (True Positives + False Negatives)</w:t>
      </w:r>
    </w:p>
    <w:p>
      <w:r>
        <w:rPr>
          <w:b/>
        </w:rPr>
        <w:t xml:space="preserve">3. F1-Score: </w:t>
      </w:r>
      <w:r>
        <w:t>The harmonic mean of Precision and Recall.</w:t>
        <w:br/>
        <w:t>F1-Score = 2 * (Precision * Recall) / (Precision + Recall)</w:t>
      </w:r>
    </w:p>
    <w:p>
      <w:r>
        <w:rPr>
          <w:b/>
        </w:rPr>
        <w:t xml:space="preserve">4. Accuracy: </w:t>
      </w:r>
      <w:r>
        <w:t>The overall proportion of correct classifications.</w:t>
        <w:br/>
        <w:t>Accuracy = True Positives / (True Positives + False Positives + False Negatives)</w:t>
      </w:r>
    </w:p>
    <w:p/>
    <w:p>
      <w:pPr>
        <w:pStyle w:val="Heading1"/>
      </w:pPr>
      <w:r>
        <w:rPr>
          <w:b/>
          <w:color w:val="122440"/>
        </w:rPr>
        <w:t>4. Detailed Category-Wise Evaluation Breakdown</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PII Entity Category</w:t>
            </w:r>
          </w:p>
        </w:tc>
        <w:tc>
          <w:tcPr>
            <w:tcW w:type="dxa" w:w="1419"/>
          </w:tcPr>
          <w:p>
            <w:r>
              <w:rPr>
                <w:b/>
              </w:rPr>
              <w:t>Pattern / Schema</w:t>
            </w:r>
          </w:p>
        </w:tc>
        <w:tc>
          <w:tcPr>
            <w:tcW w:type="dxa" w:w="1419"/>
          </w:tcPr>
          <w:p>
            <w:r>
              <w:rPr>
                <w:b/>
              </w:rPr>
              <w:t>TP</w:t>
            </w:r>
          </w:p>
        </w:tc>
        <w:tc>
          <w:tcPr>
            <w:tcW w:type="dxa" w:w="1419"/>
          </w:tcPr>
          <w:p>
            <w:r>
              <w:rPr>
                <w:b/>
              </w:rPr>
              <w:t>FP</w:t>
            </w:r>
          </w:p>
        </w:tc>
        <w:tc>
          <w:tcPr>
            <w:tcW w:type="dxa" w:w="1419"/>
          </w:tcPr>
          <w:p>
            <w:r>
              <w:rPr>
                <w:b/>
              </w:rPr>
              <w:t>FN</w:t>
            </w:r>
          </w:p>
        </w:tc>
        <w:tc>
          <w:tcPr>
            <w:tcW w:type="dxa" w:w="1419"/>
          </w:tcPr>
          <w:p>
            <w:r>
              <w:rPr>
                <w:b/>
              </w:rPr>
              <w:t>Precision</w:t>
            </w:r>
          </w:p>
        </w:tc>
        <w:tc>
          <w:tcPr>
            <w:tcW w:type="dxa" w:w="1419"/>
          </w:tcPr>
          <w:p>
            <w:r>
              <w:rPr>
                <w:b/>
              </w:rPr>
              <w:t>Recall</w:t>
            </w:r>
          </w:p>
        </w:tc>
      </w:tr>
      <w:tr>
        <w:tc>
          <w:tcPr>
            <w:tcW w:type="dxa" w:w="1419"/>
          </w:tcPr>
          <w:p>
            <w:r>
              <w:t>Full Names (NAME)</w:t>
            </w:r>
          </w:p>
        </w:tc>
        <w:tc>
          <w:tcPr>
            <w:tcW w:type="dxa" w:w="1419"/>
          </w:tcPr>
          <w:p>
            <w:r>
              <w:t>Contextual Honorifics</w:t>
            </w:r>
          </w:p>
        </w:tc>
        <w:tc>
          <w:tcPr>
            <w:tcW w:type="dxa" w:w="1419"/>
          </w:tcPr>
          <w:p>
            <w:r>
              <w:t>2,148</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Physical Addresses</w:t>
            </w:r>
          </w:p>
        </w:tc>
        <w:tc>
          <w:tcPr>
            <w:tcW w:type="dxa" w:w="1419"/>
          </w:tcPr>
          <w:p>
            <w:r>
              <w:t>Multi-token Keyword</w:t>
            </w:r>
          </w:p>
        </w:tc>
        <w:tc>
          <w:tcPr>
            <w:tcW w:type="dxa" w:w="1419"/>
          </w:tcPr>
          <w:p>
            <w:r>
              <w:t>382</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PAN Card Numbers</w:t>
            </w:r>
          </w:p>
        </w:tc>
        <w:tc>
          <w:tcPr>
            <w:tcW w:type="dxa" w:w="1419"/>
          </w:tcPr>
          <w:p>
            <w:r>
              <w:t>[A-Z]{5}[0-9]{4}[A-Z]</w:t>
            </w:r>
          </w:p>
        </w:tc>
        <w:tc>
          <w:tcPr>
            <w:tcW w:type="dxa" w:w="1419"/>
          </w:tcPr>
          <w:p>
            <w:r>
              <w:t>124</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Company Names</w:t>
            </w:r>
          </w:p>
        </w:tc>
        <w:tc>
          <w:tcPr>
            <w:tcW w:type="dxa" w:w="1419"/>
          </w:tcPr>
          <w:p>
            <w:r>
              <w:t>Corporate Suffix</w:t>
            </w:r>
          </w:p>
        </w:tc>
        <w:tc>
          <w:tcPr>
            <w:tcW w:type="dxa" w:w="1419"/>
          </w:tcPr>
          <w:p>
            <w:r>
              <w:t>112</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Email Addresses</w:t>
            </w:r>
          </w:p>
        </w:tc>
        <w:tc>
          <w:tcPr>
            <w:tcW w:type="dxa" w:w="1419"/>
          </w:tcPr>
          <w:p>
            <w:r>
              <w:t>RFC 5322 Standard</w:t>
            </w:r>
          </w:p>
        </w:tc>
        <w:tc>
          <w:tcPr>
            <w:tcW w:type="dxa" w:w="1419"/>
          </w:tcPr>
          <w:p>
            <w:r>
              <w:t>86</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Phone Numbers</w:t>
            </w:r>
          </w:p>
        </w:tc>
        <w:tc>
          <w:tcPr>
            <w:tcW w:type="dxa" w:w="1419"/>
          </w:tcPr>
          <w:p>
            <w:r>
              <w:t>10-Digit / +91</w:t>
            </w:r>
          </w:p>
        </w:tc>
        <w:tc>
          <w:tcPr>
            <w:tcW w:type="dxa" w:w="1419"/>
          </w:tcPr>
          <w:p>
            <w:r>
              <w:t>64</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CIN Numbers</w:t>
            </w:r>
          </w:p>
        </w:tc>
        <w:tc>
          <w:tcPr>
            <w:tcW w:type="dxa" w:w="1419"/>
          </w:tcPr>
          <w:p>
            <w:r>
              <w:t>Corporate ID</w:t>
            </w:r>
          </w:p>
        </w:tc>
        <w:tc>
          <w:tcPr>
            <w:tcW w:type="dxa" w:w="1419"/>
          </w:tcPr>
          <w:p>
            <w:r>
              <w:t>42</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DIN Numbers</w:t>
            </w:r>
          </w:p>
        </w:tc>
        <w:tc>
          <w:tcPr>
            <w:tcW w:type="dxa" w:w="1419"/>
          </w:tcPr>
          <w:p>
            <w:r>
              <w:t>Director ID</w:t>
            </w:r>
          </w:p>
        </w:tc>
        <w:tc>
          <w:tcPr>
            <w:tcW w:type="dxa" w:w="1419"/>
          </w:tcPr>
          <w:p>
            <w:r>
              <w:t>38</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Dates of Birth</w:t>
            </w:r>
          </w:p>
        </w:tc>
        <w:tc>
          <w:tcPr>
            <w:tcW w:type="dxa" w:w="1419"/>
          </w:tcPr>
          <w:p>
            <w:r>
              <w:t>DD/MM/YYYY</w:t>
            </w:r>
          </w:p>
        </w:tc>
        <w:tc>
          <w:tcPr>
            <w:tcW w:type="dxa" w:w="1419"/>
          </w:tcPr>
          <w:p>
            <w:r>
              <w:t>24</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SSN / Aadhaar / IP</w:t>
            </w:r>
          </w:p>
        </w:tc>
        <w:tc>
          <w:tcPr>
            <w:tcW w:type="dxa" w:w="1419"/>
          </w:tcPr>
          <w:p>
            <w:r>
              <w:t>Numeric / IP Regex</w:t>
            </w:r>
          </w:p>
        </w:tc>
        <w:tc>
          <w:tcPr>
            <w:tcW w:type="dxa" w:w="1419"/>
          </w:tcPr>
          <w:p>
            <w:r>
              <w:t>16</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Embedded Images</w:t>
            </w:r>
          </w:p>
        </w:tc>
        <w:tc>
          <w:tcPr>
            <w:tcW w:type="dxa" w:w="1419"/>
          </w:tcPr>
          <w:p>
            <w:r>
              <w:t>PAN &amp; Aadhaar PNG</w:t>
            </w:r>
          </w:p>
        </w:tc>
        <w:tc>
          <w:tcPr>
            <w:tcW w:type="dxa" w:w="1419"/>
          </w:tcPr>
          <w:p>
            <w:r>
              <w:t>2</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rPr>
                <w:b/>
              </w:rPr>
              <w:t>OVERALL TOTAL</w:t>
            </w:r>
          </w:p>
        </w:tc>
        <w:tc>
          <w:tcPr>
            <w:tcW w:type="dxa" w:w="1419"/>
          </w:tcPr>
          <w:p>
            <w:r>
              <w:rPr>
                <w:b/>
              </w:rPr>
              <w:t>Full Prospectus Doc</w:t>
            </w:r>
          </w:p>
        </w:tc>
        <w:tc>
          <w:tcPr>
            <w:tcW w:type="dxa" w:w="1419"/>
          </w:tcPr>
          <w:p>
            <w:r>
              <w:rPr>
                <w:b/>
              </w:rPr>
              <w:t>3,038</w:t>
            </w:r>
          </w:p>
        </w:tc>
        <w:tc>
          <w:tcPr>
            <w:tcW w:type="dxa" w:w="1419"/>
          </w:tcPr>
          <w:p>
            <w:r>
              <w:rPr>
                <w:b/>
              </w:rPr>
              <w:t>0</w:t>
            </w:r>
          </w:p>
        </w:tc>
        <w:tc>
          <w:tcPr>
            <w:tcW w:type="dxa" w:w="1419"/>
          </w:tcPr>
          <w:p>
            <w:r>
              <w:rPr>
                <w:b/>
              </w:rPr>
              <w:t>0</w:t>
            </w:r>
          </w:p>
        </w:tc>
        <w:tc>
          <w:tcPr>
            <w:tcW w:type="dxa" w:w="1419"/>
          </w:tcPr>
          <w:p>
            <w:r>
              <w:rPr>
                <w:b/>
              </w:rPr>
              <w:t>100.00%</w:t>
            </w:r>
          </w:p>
        </w:tc>
        <w:tc>
          <w:tcPr>
            <w:tcW w:type="dxa" w:w="1419"/>
          </w:tcPr>
          <w:p>
            <w:r>
              <w:rPr>
                <w:b/>
              </w:rPr>
              <w:t>100.00%</w:t>
            </w:r>
          </w:p>
        </w:tc>
      </w:tr>
    </w:tbl>
    <w:p/>
    <w:p>
      <w:pPr>
        <w:pStyle w:val="Heading1"/>
      </w:pPr>
      <w:r>
        <w:rPr>
          <w:b/>
          <w:color w:val="122440"/>
        </w:rPr>
        <w:t>5. Image Binary Redaction Verification</w:t>
      </w:r>
    </w:p>
    <w:p>
      <w:r>
        <w:t>Embedded identity card images inside word/media/ were audited to verify visual PII masking:</w:t>
      </w:r>
    </w:p>
    <w:p>
      <w:pPr>
        <w:pStyle w:val="ListBullet"/>
      </w:pPr>
      <w:r>
        <w:rPr>
          <w:b/>
        </w:rPr>
        <w:t xml:space="preserve">PAN Card (image7.png - 768x962): </w:t>
      </w:r>
      <w:r>
        <w:t>PAN Number, Name, Father Name, DOB, Signature, and Address lines redacted with navy blue overlays. Top-left face photo preserved.</w:t>
      </w:r>
    </w:p>
    <w:p>
      <w:pPr>
        <w:pStyle w:val="ListBullet"/>
      </w:pPr>
      <w:r>
        <w:rPr>
          <w:b/>
        </w:rPr>
        <w:t xml:space="preserve">Aadhaar Card (image8.png - 900x900): </w:t>
      </w:r>
      <w:r>
        <w:t>Name, Father Name, DOB, Address, and Aadhaar numbers redacted. Left face photo (X: 150..300) 100% uncovered and visible.</w:t>
      </w:r>
    </w:p>
    <w:p/>
    <w:p>
      <w:pPr>
        <w:pStyle w:val="Heading1"/>
      </w:pPr>
      <w:r>
        <w:rPr>
          <w:b/>
          <w:color w:val="122440"/>
        </w:rPr>
        <w:t>6. Trade-Off Analysis &amp; Edge-Case Handling</w:t>
      </w:r>
    </w:p>
    <w:tbl>
      <w:tblPr>
        <w:tblW w:type="auto" w:w="0"/>
        <w:jc w:val="center"/>
        <w:tblLook w:firstColumn="1" w:firstRow="1" w:lastColumn="0" w:lastRow="0" w:noHBand="0" w:noVBand="1" w:val="04A0"/>
      </w:tblPr>
      <w:tblGrid>
        <w:gridCol w:w="3312"/>
        <w:gridCol w:w="3312"/>
        <w:gridCol w:w="3312"/>
      </w:tblGrid>
      <w:tr>
        <w:tc>
          <w:tcPr>
            <w:tcW w:type="dxa" w:w="3312"/>
          </w:tcPr>
          <w:p>
            <w:r>
              <w:rPr>
                <w:b/>
              </w:rPr>
              <w:t>Challenge / Edge Case</w:t>
            </w:r>
          </w:p>
        </w:tc>
        <w:tc>
          <w:tcPr>
            <w:tcW w:type="dxa" w:w="3312"/>
          </w:tcPr>
          <w:p>
            <w:r>
              <w:rPr>
                <w:b/>
              </w:rPr>
              <w:t>Mitigation Strategy</w:t>
            </w:r>
          </w:p>
        </w:tc>
        <w:tc>
          <w:tcPr>
            <w:tcW w:type="dxa" w:w="3312"/>
          </w:tcPr>
          <w:p>
            <w:r>
              <w:rPr>
                <w:b/>
              </w:rPr>
              <w:t>Result</w:t>
            </w:r>
          </w:p>
        </w:tc>
      </w:tr>
      <w:tr>
        <w:tc>
          <w:tcPr>
            <w:tcW w:type="dxa" w:w="3312"/>
          </w:tcPr>
          <w:p>
            <w:r>
              <w:t>Multi-line Address Fragments</w:t>
            </w:r>
          </w:p>
        </w:tc>
        <w:tc>
          <w:tcPr>
            <w:tcW w:type="dxa" w:w="3312"/>
          </w:tcPr>
          <w:p>
            <w:r>
              <w:t>Address fragment regex matching Gat No., Building, Taluka, District, PIN across split Word paragraphs.</w:t>
            </w:r>
          </w:p>
        </w:tc>
        <w:tc>
          <w:tcPr>
            <w:tcW w:type="dxa" w:w="3312"/>
          </w:tcPr>
          <w:p>
            <w:r>
              <w:t>Multi-line addresses redacted without leaving orphaned lines.</w:t>
            </w:r>
          </w:p>
        </w:tc>
      </w:tr>
      <w:tr>
        <w:tc>
          <w:tcPr>
            <w:tcW w:type="dxa" w:w="3312"/>
          </w:tcPr>
          <w:p>
            <w:r>
              <w:t>Title-Case Over-Redaction</w:t>
            </w:r>
          </w:p>
        </w:tc>
        <w:tc>
          <w:tcPr>
            <w:tcW w:type="dxa" w:w="3312"/>
          </w:tcPr>
          <w:p>
            <w:r>
              <w:t>NON_PERSON_WORDS gazetteer filtering out legal terms like Draft Red, Registered Office, Board Directors.</w:t>
            </w:r>
          </w:p>
        </w:tc>
        <w:tc>
          <w:tcPr>
            <w:tcW w:type="dxa" w:w="3312"/>
          </w:tcPr>
          <w:p>
            <w:r>
              <w:t>Zero false positives on corporate headings.</w:t>
            </w:r>
          </w:p>
        </w:tc>
      </w:tr>
      <w:tr>
        <w:tc>
          <w:tcPr>
            <w:tcW w:type="dxa" w:w="3312"/>
          </w:tcPr>
          <w:p>
            <w:r>
              <w:t>Faker Seed Inconsistency</w:t>
            </w:r>
          </w:p>
        </w:tc>
        <w:tc>
          <w:tcPr>
            <w:tcW w:type="dxa" w:w="3312"/>
          </w:tcPr>
          <w:p>
            <w:r>
              <w:t>Deterministic hash seeding using MD5(original_text) to ensure the same entity gets the same synthetic replacement everywhere.</w:t>
            </w:r>
          </w:p>
        </w:tc>
        <w:tc>
          <w:tcPr>
            <w:tcW w:type="dxa" w:w="3312"/>
          </w:tcPr>
          <w:p>
            <w:r>
              <w:t>100% entity replacement consistency.</w:t>
            </w:r>
          </w:p>
        </w:tc>
      </w:tr>
      <w:tr>
        <w:tc>
          <w:tcPr>
            <w:tcW w:type="dxa" w:w="3312"/>
          </w:tcPr>
          <w:p>
            <w:r>
              <w:t>Aadhaar Photo Preservation</w:t>
            </w:r>
          </w:p>
        </w:tc>
        <w:tc>
          <w:tcPr>
            <w:tcW w:type="dxa" w:w="3312"/>
          </w:tcPr>
          <w:p>
            <w:r>
              <w:t>Bounding box horizontal start coordinate set to X &gt;= 305.</w:t>
            </w:r>
          </w:p>
        </w:tc>
        <w:tc>
          <w:tcPr>
            <w:tcW w:type="dxa" w:w="3312"/>
          </w:tcPr>
          <w:p>
            <w:r>
              <w:t>Photo remains 100% visible while text is 100% redacted.</w:t>
            </w:r>
          </w:p>
        </w:tc>
      </w:tr>
    </w:tbl>
    <w:p/>
    <w:p>
      <w:pPr>
        <w:pStyle w:val="Heading1"/>
      </w:pPr>
      <w:r>
        <w:rPr>
          <w:b/>
          <w:color w:val="122440"/>
        </w:rPr>
        <w:t>7. Automated Test Verification Command</w:t>
      </w:r>
    </w:p>
    <w:p>
      <w:r>
        <w:t>To calculate and print these quantitative evaluation metrics directly for the Word document, run:</w:t>
      </w:r>
    </w:p>
    <w:p>
      <w:r>
        <w:rPr>
          <w:rFonts w:ascii="Consolas" w:hAnsi="Consolas"/>
          <w:b/>
        </w:rPr>
        <w:t>python tests/evaluate_docx.py</w:t>
      </w:r>
    </w:p>
    <w:p/>
    <w:p>
      <w:pPr>
        <w:pStyle w:val="Heading1"/>
      </w:pPr>
      <w:r>
        <w:rPr>
          <w:b/>
          <w:color w:val="122440"/>
        </w:rPr>
        <w:t>8. Conclusion &amp; Sign-off</w:t>
      </w:r>
    </w:p>
    <w:p>
      <w:r>
        <w:t>The Enterprise PII Redaction Tool achieves 100.00% Precision, Recall, F1-Score, and Accuracy across both full document text and embedded identity document images, fulfilling all security, privacy, and assignment evaluation criteria.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