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54201">
      <w:pPr>
        <w:pStyle w:val="17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UPI Transaction Analysis</w:t>
      </w:r>
    </w:p>
    <w:p w14:paraId="6D001228">
      <w:pPr>
        <w:pStyle w:val="2"/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Executive Report</w:t>
      </w:r>
    </w:p>
    <w:p w14:paraId="71735912">
      <w:pPr>
        <w:rPr>
          <w:rStyle w:val="15"/>
          <w:sz w:val="28"/>
          <w:szCs w:val="28"/>
        </w:rPr>
      </w:pPr>
    </w:p>
    <w:p w14:paraId="593BDA7E">
      <w:pPr>
        <w:rPr>
          <w:rStyle w:val="15"/>
          <w:sz w:val="28"/>
          <w:szCs w:val="28"/>
        </w:rPr>
      </w:pPr>
      <w:r>
        <w:rPr>
          <w:rStyle w:val="15"/>
          <w:sz w:val="28"/>
          <w:szCs w:val="28"/>
        </w:rPr>
        <w:t>KEY DATA DRIVEN INSIGHTS</w:t>
      </w:r>
    </w:p>
    <w:p w14:paraId="4A64EE9E">
      <w:pPr>
        <w:pStyle w:val="31"/>
        <w:numPr>
          <w:ilvl w:val="0"/>
          <w:numId w:val="1"/>
        </w:numPr>
        <w:ind w:left="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3044825</wp:posOffset>
                </wp:positionH>
                <wp:positionV relativeFrom="paragraph">
                  <wp:posOffset>10160</wp:posOffset>
                </wp:positionV>
                <wp:extent cx="3319780" cy="2099310"/>
                <wp:effectExtent l="0" t="0" r="13970" b="15875"/>
                <wp:wrapNone/>
                <wp:docPr id="9283108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000" cy="20990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E689DB">
                            <w:pPr>
                              <w:spacing w:before="100" w:beforeAutospacing="1" w:after="120"/>
                              <w:ind w:left="-113"/>
                            </w:pPr>
                            <w:r>
                              <w:drawing>
                                <wp:inline distT="0" distB="0" distL="0" distR="0">
                                  <wp:extent cx="2988945" cy="2011045"/>
                                  <wp:effectExtent l="0" t="0" r="1905" b="8255"/>
                                  <wp:docPr id="813661217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13661217" name="Picture 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19224" cy="20316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o:spt="202" type="#_x0000_t202" style="position:absolute;left:0pt;margin-left:239.75pt;margin-top:0.8pt;height:165.3pt;width:261.4pt;z-index:251659264;mso-width-relative:page;mso-height-relative:page;" fillcolor="#FFFFFF [3201]" filled="t" stroked="t" coordsize="21600,21600" o:gfxdata="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FCrYVPVAAAACgEAAA8AAAAAAAAA&#10;AQAgAAAAIgAAAGRycy9kb3ducmV2LnhtbFBLAQIUABQAAAAIAIdO4kD0G+M/TQIAAL8EAAAOAAAA&#10;AAAAAAEAIAAAACQBAABkcnMvZTJvRG9jLnhtbFBLBQYAAAAABgAGAFkBAADj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DE689DB">
                      <w:pPr>
                        <w:spacing w:before="100" w:beforeAutospacing="1" w:after="120"/>
                        <w:ind w:left="-113"/>
                      </w:pPr>
                      <w:r>
                        <w:drawing>
                          <wp:inline distT="0" distB="0" distL="0" distR="0">
                            <wp:extent cx="2988945" cy="2011045"/>
                            <wp:effectExtent l="0" t="0" r="1905" b="8255"/>
                            <wp:docPr id="813661217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13661217" name="Picture 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19224" cy="20316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4"/>
          <w:szCs w:val="24"/>
        </w:rPr>
        <w:t>Fraud activity has increased sharply over time</w:t>
      </w:r>
    </w:p>
    <w:p w14:paraId="638FB99C">
      <w:pPr>
        <w:pStyle w:val="31"/>
        <w:ind w:left="20"/>
        <w:rPr>
          <w:sz w:val="24"/>
          <w:szCs w:val="24"/>
        </w:rPr>
      </w:pPr>
      <w:r>
        <w:rPr>
          <w:sz w:val="24"/>
          <w:szCs w:val="24"/>
        </w:rPr>
        <w:t xml:space="preserve">Fraudulent transactions increased from 16 in </w:t>
      </w:r>
    </w:p>
    <w:p w14:paraId="3385E7D2">
      <w:pPr>
        <w:pStyle w:val="31"/>
        <w:ind w:left="20"/>
        <w:rPr>
          <w:rFonts w:hint="default"/>
          <w:sz w:val="24"/>
          <w:szCs w:val="24"/>
          <w:lang w:val="en-IN"/>
        </w:rPr>
      </w:pPr>
      <w:r>
        <w:rPr>
          <w:sz w:val="24"/>
          <w:szCs w:val="24"/>
        </w:rPr>
        <w:t xml:space="preserve">2021 to 1,268 in 2025, indicating a </w:t>
      </w:r>
      <w:r>
        <w:rPr>
          <w:rFonts w:hint="default"/>
          <w:sz w:val="24"/>
          <w:szCs w:val="24"/>
          <w:lang w:val="en-IN"/>
        </w:rPr>
        <w:t>substancial</w:t>
      </w:r>
    </w:p>
    <w:p w14:paraId="37E2E97D">
      <w:pPr>
        <w:pStyle w:val="31"/>
        <w:ind w:left="20"/>
        <w:rPr>
          <w:sz w:val="24"/>
          <w:szCs w:val="24"/>
        </w:rPr>
      </w:pPr>
      <w:r>
        <w:rPr>
          <w:sz w:val="24"/>
          <w:szCs w:val="24"/>
        </w:rPr>
        <w:t xml:space="preserve">increase in fraudulent activities in the most </w:t>
      </w:r>
    </w:p>
    <w:p w14:paraId="2B812A29">
      <w:pPr>
        <w:pStyle w:val="31"/>
        <w:ind w:left="20"/>
        <w:rPr>
          <w:sz w:val="24"/>
          <w:szCs w:val="24"/>
        </w:rPr>
      </w:pPr>
      <w:r>
        <w:rPr>
          <w:sz w:val="24"/>
          <w:szCs w:val="24"/>
        </w:rPr>
        <w:t xml:space="preserve">recent period. This increase particularly </w:t>
      </w:r>
    </w:p>
    <w:p w14:paraId="33BCDC33">
      <w:pPr>
        <w:pStyle w:val="31"/>
        <w:ind w:left="20"/>
        <w:rPr>
          <w:sz w:val="24"/>
          <w:szCs w:val="24"/>
        </w:rPr>
      </w:pPr>
      <w:r>
        <w:rPr>
          <w:sz w:val="24"/>
          <w:szCs w:val="24"/>
        </w:rPr>
        <w:t xml:space="preserve">accelerated after 2023, suggesting that fraud </w:t>
      </w:r>
    </w:p>
    <w:p w14:paraId="5592AF60">
      <w:pPr>
        <w:pStyle w:val="31"/>
        <w:ind w:left="20"/>
        <w:rPr>
          <w:sz w:val="24"/>
          <w:szCs w:val="24"/>
        </w:rPr>
      </w:pPr>
      <w:r>
        <w:rPr>
          <w:sz w:val="24"/>
          <w:szCs w:val="24"/>
        </w:rPr>
        <w:t xml:space="preserve">exposure is becoming an increasingly important </w:t>
      </w:r>
    </w:p>
    <w:p w14:paraId="4605CC43">
      <w:pPr>
        <w:pStyle w:val="31"/>
        <w:ind w:left="20"/>
        <w:rPr>
          <w:sz w:val="24"/>
          <w:szCs w:val="24"/>
        </w:rPr>
      </w:pPr>
      <w:r>
        <w:rPr>
          <w:sz w:val="24"/>
          <w:szCs w:val="24"/>
        </w:rPr>
        <w:t xml:space="preserve">business risk and requires continuous rather </w:t>
      </w:r>
    </w:p>
    <w:p w14:paraId="1D230E40">
      <w:pPr>
        <w:pStyle w:val="31"/>
        <w:ind w:left="20"/>
        <w:rPr>
          <w:sz w:val="24"/>
          <w:szCs w:val="24"/>
        </w:rPr>
      </w:pPr>
      <w:r>
        <w:rPr>
          <w:sz w:val="24"/>
          <w:szCs w:val="24"/>
        </w:rPr>
        <w:t>than periodic monitoring.</w:t>
      </w:r>
    </w:p>
    <w:p w14:paraId="42AFFF5A">
      <w:pPr>
        <w:pStyle w:val="31"/>
        <w:ind w:left="20"/>
        <w:rPr>
          <w:sz w:val="24"/>
          <w:szCs w:val="24"/>
        </w:rPr>
      </w:pPr>
    </w:p>
    <w:p w14:paraId="44D52253">
      <w:pPr>
        <w:pStyle w:val="31"/>
        <w:ind w:left="20"/>
        <w:rPr>
          <w:sz w:val="24"/>
          <w:szCs w:val="24"/>
        </w:rPr>
      </w:pPr>
    </w:p>
    <w:p w14:paraId="76B8A3CE">
      <w:pPr>
        <w:pStyle w:val="31"/>
        <w:ind w:left="20"/>
        <w:rPr>
          <w:sz w:val="24"/>
          <w:szCs w:val="24"/>
        </w:rPr>
      </w:pPr>
    </w:p>
    <w:p w14:paraId="69460657">
      <w:pPr>
        <w:pStyle w:val="31"/>
        <w:numPr>
          <w:ilvl w:val="0"/>
          <w:numId w:val="1"/>
        </w:numPr>
        <w:ind w:left="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Fraud accounts for 2% of all transactions</w:t>
      </w:r>
    </w:p>
    <w:p w14:paraId="3472733E">
      <w:pPr>
        <w:pStyle w:val="31"/>
        <w:ind w:left="20"/>
        <w:rPr>
          <w:sz w:val="24"/>
          <w:szCs w:val="24"/>
        </w:rPr>
      </w:pPr>
      <w:r>
        <w:rPr>
          <w:sz w:val="24"/>
          <w:szCs w:val="24"/>
        </w:rPr>
        <w:t>Out of 1,00,000 UPI transactions, 2,000 were identified as fraudulent, resulting in an overall fraud rate of 2%. Although fraudulent transactions are representing a very minor p</w:t>
      </w:r>
      <w:r>
        <w:rPr>
          <w:rFonts w:hint="default"/>
          <w:sz w:val="24"/>
          <w:szCs w:val="24"/>
          <w:lang w:val="en-IN"/>
        </w:rPr>
        <w:t xml:space="preserve">ortion </w:t>
      </w:r>
      <w:r>
        <w:rPr>
          <w:sz w:val="24"/>
          <w:szCs w:val="24"/>
        </w:rPr>
        <w:t>of the overall activity, the volume is significant enough to create financial, operational and customer-service consequences.</w:t>
      </w:r>
    </w:p>
    <w:p w14:paraId="36B8E361">
      <w:pPr>
        <w:pStyle w:val="31"/>
        <w:ind w:left="20"/>
        <w:rPr>
          <w:sz w:val="24"/>
          <w:szCs w:val="24"/>
        </w:rPr>
      </w:pPr>
    </w:p>
    <w:p w14:paraId="56D2A4CC">
      <w:pPr>
        <w:pStyle w:val="5"/>
        <w:numPr>
          <w:ilvl w:val="0"/>
          <w:numId w:val="1"/>
        </w:numPr>
        <w:ind w:left="20"/>
        <w:rPr>
          <w:rStyle w:val="15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5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Fraud detection requires multiple behavioural signals </w:t>
      </w:r>
    </w:p>
    <w:p w14:paraId="7DD06382">
      <w:pPr>
        <w:pStyle w:val="5"/>
        <w:spacing w:before="0"/>
        <w:ind w:left="20"/>
        <w:rPr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The fraud-alert analysis shows a very balanced distribution across the four identified alert categories: </w:t>
      </w:r>
      <w:r>
        <w:rPr>
          <w:rStyle w:val="15"/>
          <w:b w:val="0"/>
          <w:bCs w:val="0"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Unusual Time (507), Frequent Failure (501), Suspicious Login (498), and Unusual Amount (494)</w:t>
      </w:r>
      <w:r>
        <w:rPr>
          <w:b/>
          <w:bCs/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i w:val="0"/>
          <w:i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Since no single alert type dominates, dependance on one indicator alone may not be sufficient. A combination of behavioural and transaction-level signals would provide a more comprehensive basis for fraud detection and prevention.</w:t>
      </w:r>
    </w:p>
    <w:p w14:paraId="2790DFF8"/>
    <w:p w14:paraId="4DC880A9">
      <w:pPr>
        <w:pStyle w:val="31"/>
        <w:numPr>
          <w:ilvl w:val="0"/>
          <w:numId w:val="1"/>
        </w:numPr>
        <w:ind w:left="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Fraudulent customer base</w:t>
      </w:r>
    </w:p>
    <w:p w14:paraId="3AA9EF0E">
      <w:pPr>
        <w:pStyle w:val="31"/>
        <w:ind w:left="20"/>
        <w:rPr>
          <w:sz w:val="24"/>
          <w:szCs w:val="24"/>
        </w:rPr>
      </w:pPr>
      <w:r>
        <w:rPr>
          <w:sz w:val="24"/>
          <w:szCs w:val="24"/>
        </w:rPr>
        <w:t xml:space="preserve">The analysis identified 1,408 customers associated with fraudulent transactions, compared with 2,000 fraudulent transactions overall. This indicates that fraud is not confined to a very small set of isolated cases, </w:t>
      </w:r>
      <w:r>
        <w:rPr>
          <w:rFonts w:hint="default"/>
          <w:sz w:val="24"/>
          <w:szCs w:val="24"/>
          <w:lang w:val="en-IN"/>
        </w:rPr>
        <w:t xml:space="preserve">with some customers facing multiple </w:t>
      </w:r>
      <w:r>
        <w:rPr>
          <w:sz w:val="24"/>
          <w:szCs w:val="24"/>
        </w:rPr>
        <w:t>fraudulent transactions. Hence the reinforcement of customer’s based fraud prevention, monitoring and awareness initiatives are very essential, a necessity.</w:t>
      </w:r>
    </w:p>
    <w:p w14:paraId="58A9C09C">
      <w:pPr>
        <w:pStyle w:val="31"/>
        <w:ind w:left="20"/>
        <w:rPr>
          <w:sz w:val="24"/>
          <w:szCs w:val="24"/>
        </w:rPr>
      </w:pPr>
    </w:p>
    <w:p w14:paraId="7ADBD46E">
      <w:pPr>
        <w:pStyle w:val="31"/>
        <w:ind w:left="20"/>
        <w:rPr>
          <w:sz w:val="24"/>
          <w:szCs w:val="24"/>
        </w:rPr>
      </w:pPr>
    </w:p>
    <w:p w14:paraId="443780D7">
      <w:pPr>
        <w:pStyle w:val="31"/>
        <w:numPr>
          <w:ilvl w:val="0"/>
          <w:numId w:val="1"/>
        </w:numPr>
        <w:ind w:left="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2903855</wp:posOffset>
                </wp:positionH>
                <wp:positionV relativeFrom="paragraph">
                  <wp:posOffset>-292100</wp:posOffset>
                </wp:positionV>
                <wp:extent cx="3437890" cy="2216785"/>
                <wp:effectExtent l="0" t="0" r="10160" b="12700"/>
                <wp:wrapNone/>
                <wp:docPr id="43512721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8043" cy="22165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FB970C">
                            <w:pPr>
                              <w:ind w:left="-113"/>
                            </w:pPr>
                            <w:r>
                              <w:drawing>
                                <wp:inline distT="0" distB="0" distL="0" distR="0">
                                  <wp:extent cx="3422015" cy="2164715"/>
                                  <wp:effectExtent l="0" t="0" r="6985" b="6985"/>
                                  <wp:docPr id="1345217428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5217428" name="Picture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65340" cy="219210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228.65pt;margin-top:-23pt;height:174.55pt;width:270.7pt;z-index:251660288;mso-width-relative:page;mso-height-relative:page;" fillcolor="#FFFFFF [3201]" filled="t" stroked="t" coordsize="21600,21600" o:gfxdata="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N66RbPZAAAACwEAAA8A&#10;AAAAAAAAAQAgAAAAIgAAAGRycy9kb3ducmV2LnhtbFBLAQIUABQAAAAIAIdO4kCe8n3yTwIAAL8E&#10;AAAOAAAAAAAAAAEAIAAAACgBAABkcnMvZTJvRG9jLnhtbFBLBQYAAAAABgAGAFkBAADp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07FB970C">
                      <w:pPr>
                        <w:ind w:left="-113"/>
                      </w:pPr>
                      <w:r>
                        <w:drawing>
                          <wp:inline distT="0" distB="0" distL="0" distR="0">
                            <wp:extent cx="3422015" cy="2164715"/>
                            <wp:effectExtent l="0" t="0" r="6985" b="6985"/>
                            <wp:docPr id="1345217428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45217428" name="Picture 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65340" cy="219210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4"/>
          <w:szCs w:val="24"/>
        </w:rPr>
        <w:t>Individual high – value fraud incidents</w:t>
      </w:r>
    </w:p>
    <w:p w14:paraId="6A8D96B1">
      <w:pPr>
        <w:pStyle w:val="31"/>
        <w:ind w:left="20"/>
        <w:rPr>
          <w:sz w:val="24"/>
          <w:szCs w:val="24"/>
        </w:rPr>
      </w:pPr>
      <w:r>
        <w:rPr>
          <w:sz w:val="24"/>
          <w:szCs w:val="24"/>
        </w:rPr>
        <w:t xml:space="preserve">The highest fraudulent transaction recorded </w:t>
      </w:r>
    </w:p>
    <w:p w14:paraId="70E9BECD">
      <w:pPr>
        <w:pStyle w:val="31"/>
        <w:ind w:left="20"/>
        <w:rPr>
          <w:sz w:val="24"/>
          <w:szCs w:val="24"/>
        </w:rPr>
      </w:pPr>
      <w:r>
        <w:rPr>
          <w:sz w:val="24"/>
          <w:szCs w:val="24"/>
        </w:rPr>
        <w:t xml:space="preserve">was ₹373.20, followed by transactions of </w:t>
      </w:r>
    </w:p>
    <w:p w14:paraId="6F75C36D">
      <w:pPr>
        <w:pStyle w:val="31"/>
        <w:ind w:left="20"/>
        <w:rPr>
          <w:sz w:val="24"/>
          <w:szCs w:val="24"/>
        </w:rPr>
      </w:pPr>
      <w:r>
        <w:rPr>
          <w:sz w:val="24"/>
          <w:szCs w:val="24"/>
        </w:rPr>
        <w:t xml:space="preserve">₹294.33, ₹234.95, ₹234.70 and so on. This </w:t>
      </w:r>
    </w:p>
    <w:p w14:paraId="3EED3CAB">
      <w:pPr>
        <w:pStyle w:val="31"/>
        <w:ind w:left="20"/>
        <w:rPr>
          <w:sz w:val="24"/>
          <w:szCs w:val="24"/>
        </w:rPr>
      </w:pPr>
      <w:r>
        <w:rPr>
          <w:sz w:val="24"/>
          <w:szCs w:val="24"/>
        </w:rPr>
        <w:t xml:space="preserve">demonstrates why fraud monitoring should </w:t>
      </w:r>
    </w:p>
    <w:p w14:paraId="7F52E44E">
      <w:pPr>
        <w:pStyle w:val="31"/>
        <w:ind w:left="20"/>
        <w:rPr>
          <w:sz w:val="24"/>
          <w:szCs w:val="24"/>
        </w:rPr>
      </w:pPr>
      <w:r>
        <w:rPr>
          <w:sz w:val="24"/>
          <w:szCs w:val="24"/>
        </w:rPr>
        <w:t xml:space="preserve">consider not only the number of incidents, </w:t>
      </w:r>
    </w:p>
    <w:p w14:paraId="60F372B6">
      <w:pPr>
        <w:pStyle w:val="31"/>
        <w:ind w:left="20"/>
        <w:rPr>
          <w:sz w:val="24"/>
          <w:szCs w:val="24"/>
        </w:rPr>
      </w:pPr>
      <w:r>
        <w:rPr>
          <w:sz w:val="24"/>
          <w:szCs w:val="24"/>
        </w:rPr>
        <w:t xml:space="preserve">but also the value and potential financial </w:t>
      </w:r>
    </w:p>
    <w:p w14:paraId="5B93455D">
      <w:pPr>
        <w:pStyle w:val="31"/>
        <w:ind w:left="20"/>
        <w:rPr>
          <w:sz w:val="24"/>
          <w:szCs w:val="24"/>
        </w:rPr>
      </w:pPr>
      <w:r>
        <w:rPr>
          <w:sz w:val="24"/>
          <w:szCs w:val="24"/>
        </w:rPr>
        <w:t>impact of individual transactions.</w:t>
      </w:r>
    </w:p>
    <w:p w14:paraId="31810BA7">
      <w:pPr>
        <w:pStyle w:val="31"/>
        <w:ind w:left="20"/>
        <w:rPr>
          <w:sz w:val="24"/>
          <w:szCs w:val="24"/>
        </w:rPr>
      </w:pPr>
    </w:p>
    <w:p w14:paraId="21788E9B">
      <w:pPr>
        <w:pStyle w:val="31"/>
        <w:ind w:left="20"/>
        <w:rPr>
          <w:sz w:val="24"/>
          <w:szCs w:val="24"/>
        </w:rPr>
      </w:pPr>
    </w:p>
    <w:p w14:paraId="09ED81FE">
      <w:pPr>
        <w:pStyle w:val="31"/>
        <w:ind w:left="20"/>
        <w:rPr>
          <w:rStyle w:val="15"/>
          <w:sz w:val="28"/>
          <w:szCs w:val="28"/>
        </w:rPr>
      </w:pPr>
      <w:r>
        <w:rPr>
          <w:rStyle w:val="15"/>
          <w:sz w:val="28"/>
          <w:szCs w:val="28"/>
        </w:rPr>
        <w:t>STRATEGIC RECOMMENDATIONS</w:t>
      </w:r>
    </w:p>
    <w:p w14:paraId="70C72825">
      <w:pPr>
        <w:pStyle w:val="31"/>
        <w:ind w:left="20"/>
        <w:rPr>
          <w:rStyle w:val="15"/>
          <w:sz w:val="28"/>
          <w:szCs w:val="28"/>
        </w:rPr>
      </w:pPr>
    </w:p>
    <w:p w14:paraId="4AD466FF">
      <w:pPr>
        <w:pStyle w:val="31"/>
        <w:numPr>
          <w:ilvl w:val="0"/>
          <w:numId w:val="2"/>
        </w:numPr>
        <w:ind w:left="20"/>
        <w:rPr>
          <w:rStyle w:val="15"/>
          <w:sz w:val="24"/>
          <w:szCs w:val="24"/>
        </w:rPr>
      </w:pPr>
      <w:r>
        <w:rPr>
          <w:rStyle w:val="15"/>
          <w:sz w:val="24"/>
          <w:szCs w:val="24"/>
        </w:rPr>
        <w:t xml:space="preserve">Implement </w:t>
      </w:r>
      <w:r>
        <w:rPr>
          <w:rStyle w:val="15"/>
          <w:sz w:val="24"/>
          <w:szCs w:val="24"/>
          <w:lang w:val="en-IN"/>
        </w:rPr>
        <w:t>continuous</w:t>
      </w:r>
      <w:r>
        <w:rPr>
          <w:rStyle w:val="15"/>
          <w:sz w:val="24"/>
          <w:szCs w:val="24"/>
        </w:rPr>
        <w:t xml:space="preserve"> fraud monitoring</w:t>
      </w:r>
      <w:bookmarkStart w:id="0" w:name="_GoBack"/>
      <w:bookmarkEnd w:id="0"/>
    </w:p>
    <w:p w14:paraId="77F72129">
      <w:pPr>
        <w:pStyle w:val="31"/>
        <w:ind w:left="20"/>
      </w:pPr>
      <w:r>
        <w:t xml:space="preserve">Combine </w:t>
      </w:r>
      <w:r>
        <w:rPr>
          <w:rStyle w:val="15"/>
          <w:b w:val="0"/>
          <w:bCs w:val="0"/>
        </w:rPr>
        <w:t>unusual timing, frequent transaction failures, suspicious login behaviour and unusual transaction amounts</w:t>
      </w:r>
      <w:r>
        <w:t xml:space="preserve"> into a unified risk-monitoring mechanism. This would reduce dependence on any single fraud indicator and allow suspicious activity to be identified earlier.</w:t>
      </w:r>
    </w:p>
    <w:p w14:paraId="3CD36437">
      <w:pPr>
        <w:pStyle w:val="31"/>
        <w:ind w:left="20"/>
      </w:pPr>
      <w:r>
        <w:rPr>
          <w:rStyle w:val="15"/>
        </w:rPr>
        <w:t>Metric basis:</w:t>
      </w:r>
      <w:r>
        <w:t xml:space="preserve"> The four alert categories account for </w:t>
      </w:r>
      <w:r>
        <w:rPr>
          <w:rStyle w:val="15"/>
          <w:b w:val="0"/>
          <w:bCs w:val="0"/>
        </w:rPr>
        <w:t>494–507 alerts each</w:t>
      </w:r>
      <w:r>
        <w:t xml:space="preserve">, showing that multiple signals contribute almost equally to fraud detection. </w:t>
      </w:r>
    </w:p>
    <w:p w14:paraId="7C492692">
      <w:pPr>
        <w:pStyle w:val="31"/>
        <w:ind w:left="20"/>
      </w:pPr>
      <w:r>
        <w:rPr>
          <w:rStyle w:val="15"/>
        </w:rPr>
        <w:t>Potential business impact:</w:t>
      </w:r>
      <w:r>
        <w:t xml:space="preserve"> Even a </w:t>
      </w:r>
      <w:r>
        <w:rPr>
          <w:rStyle w:val="15"/>
          <w:b w:val="0"/>
          <w:bCs w:val="0"/>
        </w:rPr>
        <w:t>10% reduction</w:t>
      </w:r>
      <w:r>
        <w:t xml:space="preserve"> in fraudulent transactions could potentially prevent approximately </w:t>
      </w:r>
      <w:r>
        <w:rPr>
          <w:rStyle w:val="15"/>
          <w:b w:val="0"/>
          <w:bCs w:val="0"/>
        </w:rPr>
        <w:t>200 incidents</w:t>
      </w:r>
      <w:r>
        <w:t>, based on the current baseline of 2,000 fraudulent transactions.</w:t>
      </w:r>
    </w:p>
    <w:p w14:paraId="600DE45B">
      <w:pPr>
        <w:pStyle w:val="31"/>
        <w:ind w:left="20"/>
        <w:rPr>
          <w:sz w:val="24"/>
          <w:szCs w:val="24"/>
        </w:rPr>
      </w:pPr>
    </w:p>
    <w:p w14:paraId="79F0B7DC">
      <w:pPr>
        <w:pStyle w:val="31"/>
        <w:numPr>
          <w:ilvl w:val="0"/>
          <w:numId w:val="2"/>
        </w:numPr>
        <w:ind w:left="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Strengthen verification for high-risk and high-value transactions</w:t>
      </w:r>
    </w:p>
    <w:p w14:paraId="14DDBFFF">
      <w:pPr>
        <w:pStyle w:val="31"/>
        <w:ind w:left="20"/>
      </w:pPr>
      <w:r>
        <w:t>Introduce additional authentication, transaction holds or customer confirmation when a transaction is unusually large or inconsistent with the registered customer behaviour.</w:t>
      </w:r>
    </w:p>
    <w:p w14:paraId="68E6F83F">
      <w:pPr>
        <w:pStyle w:val="31"/>
        <w:ind w:left="20"/>
      </w:pPr>
      <w:r>
        <w:rPr>
          <w:rStyle w:val="15"/>
        </w:rPr>
        <w:t>Metric basis:</w:t>
      </w:r>
      <w:r>
        <w:t xml:space="preserve"> The dataset contains fraudulent transactions as high as </w:t>
      </w:r>
      <w:r>
        <w:rPr>
          <w:rStyle w:val="15"/>
          <w:b w:val="0"/>
          <w:bCs w:val="0"/>
        </w:rPr>
        <w:t>₹373.20</w:t>
      </w:r>
      <w:r>
        <w:t xml:space="preserve">, demonstrating that individual incidents can carry substantially higher exposure. </w:t>
      </w:r>
    </w:p>
    <w:p w14:paraId="707A5836">
      <w:pPr>
        <w:pStyle w:val="31"/>
        <w:ind w:left="20"/>
      </w:pPr>
      <w:r>
        <w:rPr>
          <w:rStyle w:val="15"/>
        </w:rPr>
        <w:t>Potential business impact:</w:t>
      </w:r>
      <w:r>
        <w:t xml:space="preserve"> Beginning with almost as small as </w:t>
      </w:r>
      <w:r>
        <w:rPr>
          <w:rStyle w:val="15"/>
          <w:b w:val="0"/>
          <w:bCs w:val="0"/>
        </w:rPr>
        <w:t>10% reduction in the reported fraudulent amount of ₹84,713</w:t>
      </w:r>
      <w:r>
        <w:t xml:space="preserve"> would represent approximately </w:t>
      </w:r>
      <w:r>
        <w:rPr>
          <w:rStyle w:val="15"/>
          <w:b w:val="0"/>
          <w:bCs w:val="0"/>
        </w:rPr>
        <w:t>₹8,471</w:t>
      </w:r>
      <w:r>
        <w:t>, a good start in avoiding potential exposure.</w:t>
      </w:r>
    </w:p>
    <w:p w14:paraId="5751FDA0">
      <w:pPr>
        <w:pStyle w:val="31"/>
        <w:ind w:left="20"/>
        <w:rPr>
          <w:sz w:val="24"/>
          <w:szCs w:val="24"/>
        </w:rPr>
      </w:pPr>
    </w:p>
    <w:p w14:paraId="6258736C">
      <w:pPr>
        <w:pStyle w:val="5"/>
        <w:numPr>
          <w:ilvl w:val="0"/>
          <w:numId w:val="2"/>
        </w:numPr>
        <w:ind w:left="20"/>
        <w:rPr>
          <w:rStyle w:val="15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5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Expand targeted customer security awareness</w:t>
      </w:r>
    </w:p>
    <w:p w14:paraId="3A52CEAF">
      <w:pPr>
        <w:pStyle w:val="5"/>
        <w:ind w:left="20"/>
        <w:rPr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Develop customer education campaigns focused on suspicious login activity, unusual payment requests, repeated failed transactions and safe UPI practices. The campaign should particularly target customers who show repeated or high-risk behaviour.</w:t>
      </w:r>
    </w:p>
    <w:p w14:paraId="518AD0DA">
      <w:pPr>
        <w:pStyle w:val="5"/>
        <w:ind w:left="20"/>
        <w:rPr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5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Metric basis</w:t>
      </w:r>
      <w:r>
        <w:rPr>
          <w:rStyle w:val="15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5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1,408 customers</w:t>
      </w:r>
      <w:r>
        <w:rPr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were associated with fraudulent transactions,some with repeated fraudulent transactions, demonstrating that customer-level intervention and education is relevant alongside technical controls.</w:t>
      </w:r>
    </w:p>
    <w:p w14:paraId="3706031B">
      <w:pPr>
        <w:pStyle w:val="5"/>
        <w:ind w:left="20"/>
        <w:rPr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5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Potential business impact</w:t>
      </w:r>
      <w:r>
        <w:rPr>
          <w:rStyle w:val="15"/>
          <w:b w:val="0"/>
          <w:bCs w:val="0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 xml:space="preserve"> Reducing preventable or repeat fraud incidents can lower customer losses, investigation workload and reputational risk. The actual reduction should be measured after implementation</w:t>
      </w:r>
      <w:r>
        <w:t>.</w:t>
      </w:r>
    </w:p>
    <w:p w14:paraId="63BC6887">
      <w:pPr>
        <w:pStyle w:val="31"/>
        <w:ind w:left="20"/>
      </w:pPr>
    </w:p>
    <w:p w14:paraId="681AF734">
      <w:pPr>
        <w:pStyle w:val="31"/>
        <w:ind w:left="20"/>
        <w:rPr>
          <w:rStyle w:val="15"/>
          <w:b w:val="0"/>
          <w:bCs w:val="0"/>
          <w:i/>
          <w:iCs/>
          <w:sz w:val="24"/>
          <w:szCs w:val="24"/>
          <w:u w:val="single"/>
        </w:rPr>
      </w:pPr>
      <w:r>
        <w:rPr>
          <w:i/>
          <w:iCs/>
          <w:u w:val="single"/>
        </w:rPr>
        <w:t>The analysis identifies a 2% fraud rate across 100,000 UPI transactions, with fraud activity rising sharply in recent years. The findings highlight the need for stronger multi-signal monitoring, transaction-level controls and customer-focused prevention measures</w:t>
      </w:r>
      <w:r>
        <w:rPr>
          <w:i/>
          <w:iCs/>
          <w:sz w:val="24"/>
          <w:szCs w:val="24"/>
          <w:u w:val="single"/>
        </w:rPr>
        <w:t>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5px;height:15px" o:bullet="t">
        <v:imagedata r:id="rId1" o:title=""/>
      </v:shape>
    </w:pict>
  </w:numPicBullet>
  <w:abstractNum w:abstractNumId="0">
    <w:nsid w:val="0981439E"/>
    <w:multiLevelType w:val="multilevel"/>
    <w:tmpl w:val="0981439E"/>
    <w:lvl w:ilvl="0" w:tentative="0">
      <w:start w:val="1"/>
      <w:numFmt w:val="bullet"/>
      <w:lvlText w:val=""/>
      <w:lvlPicBulletId w:val="0"/>
      <w:lvlJc w:val="left"/>
      <w:pPr>
        <w:ind w:left="7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00" w:hanging="360"/>
      </w:pPr>
      <w:rPr>
        <w:rFonts w:hint="default" w:ascii="Wingdings" w:hAnsi="Wingdings"/>
      </w:rPr>
    </w:lvl>
  </w:abstractNum>
  <w:abstractNum w:abstractNumId="1">
    <w:nsid w:val="3DDD754F"/>
    <w:multiLevelType w:val="multilevel"/>
    <w:tmpl w:val="3DDD754F"/>
    <w:lvl w:ilvl="0" w:tentative="0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196"/>
    <w:rsid w:val="00064416"/>
    <w:rsid w:val="00284766"/>
    <w:rsid w:val="003D6087"/>
    <w:rsid w:val="0044073F"/>
    <w:rsid w:val="00542838"/>
    <w:rsid w:val="00727821"/>
    <w:rsid w:val="00966F09"/>
    <w:rsid w:val="00BF1196"/>
    <w:rsid w:val="00C007DF"/>
    <w:rsid w:val="54030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6">
    <w:name w:val="pdq2pg_selectionanchorcontainer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329</Words>
  <Characters>2083</Characters>
  <Lines>31</Lines>
  <Paragraphs>8</Paragraphs>
  <TotalTime>129</TotalTime>
  <ScaleCrop>false</ScaleCrop>
  <LinksUpToDate>false</LinksUpToDate>
  <CharactersWithSpaces>2396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2026-08-09T07:39:00Z</dcterms:created>
  <dc:creator>SNEHA C R</dc:creator>
  <cp:lastModifiedBy>WPS_1635141265</cp:lastModifiedBy>
  <dcterms:modified xsi:type="dcterms:W3CDTF">2026-08-09T11:55:02Z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eyJoZGlkIjoiNjk2MDY5MTk5ODllNjNlYjZkMWMxNzBlYzNjMWE2NWEiLCJ1c2VySWQiOiI1NjcyMzEyNTkzODYifQ==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31A0E2F1596E4C95B3D3FB3A2B7ED177_12</vt:lpwstr>
  </property>
</Properties>
</file>