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1F4E79"/>
          <w:sz w:val="48"/>
        </w:rPr>
        <w:t>DYNAMIC EMERGENCY RESOURCE ALLOCATION VIA DEEP REINFORCEMENT LEARNING GROUNDED IN NYC OPEN DATA AND OPENSTREETMAP ROAD GEOMETRY</w:t>
      </w:r>
    </w:p>
    <w:p>
      <w:pPr>
        <w:spacing w:after="480"/>
      </w:pPr>
      <w:r>
        <w:rPr>
          <w:rFonts w:ascii="Calibri" w:hAnsi="Calibri"/>
          <w:i/>
          <w:color w:val="2F5597"/>
          <w:sz w:val="28"/>
        </w:rPr>
        <w:t>A Data-Driven Decision Support Framework for Hospital Allocation under Spatial, Capacity, and Severity Constraints</w:t>
      </w:r>
    </w:p>
    <w:tbl>
      <w:tblPr>
        <w:tblW w:type="auto" w:w="0"/>
        <w:jc w:val="center"/>
        <w:tblLook w:firstColumn="1" w:firstRow="1" w:lastColumn="0" w:lastRow="0" w:noHBand="0" w:noVBand="1" w:val="04A0"/>
      </w:tblPr>
      <w:tblGrid>
        <w:gridCol w:w="4680"/>
        <w:gridCol w:w="4680"/>
      </w:tblGrid>
      <w:tr>
        <w:trPr>
          <w:cantSplit/>
          <w:tblHeader/>
        </w:trPr>
        <w:tc>
          <w:tcPr>
            <w:tcW w:type="dxa" w:w="4680"/>
            <w:shd w:fill="1F4E79"/>
            <w:tcMar>
              <w:top w:w="100" w:type="dxa"/>
              <w:bottom w:w="100" w:type="dxa"/>
              <w:left w:w="120" w:type="dxa"/>
              <w:right w:w="120" w:type="dxa"/>
            </w:tcMar>
          </w:tcPr>
          <w:p>
            <w:pPr>
              <w:jc w:val="center"/>
            </w:pPr>
            <w:r>
              <w:rPr>
                <w:rFonts w:ascii="Calibri" w:hAnsi="Calibri"/>
                <w:b/>
                <w:color w:val="FFFFFF"/>
                <w:sz w:val="20"/>
              </w:rPr>
              <w:t>Author / Investigator:</w:t>
            </w:r>
          </w:p>
        </w:tc>
        <w:tc>
          <w:tcPr>
            <w:tcW w:type="dxa" w:w="4680"/>
            <w:shd w:fill="1F4E79"/>
            <w:tcMar>
              <w:top w:w="100" w:type="dxa"/>
              <w:bottom w:w="100" w:type="dxa"/>
              <w:left w:w="120" w:type="dxa"/>
              <w:right w:w="120" w:type="dxa"/>
            </w:tcMar>
          </w:tcPr>
          <w:p>
            <w:pPr>
              <w:jc w:val="center"/>
            </w:pPr>
            <w:r>
              <w:rPr>
                <w:rFonts w:ascii="Calibri" w:hAnsi="Calibri"/>
                <w:b/>
                <w:color w:val="FFFFFF"/>
                <w:sz w:val="20"/>
              </w:rPr>
              <w:t>Antigravity AI Engineering Team &amp; DeepMind AGY Pair Programmer</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Primary Dataset Source:</w:t>
            </w:r>
          </w:p>
        </w:tc>
        <w:tc>
          <w:tcPr>
            <w:tcW w:type="dxa" w:w="4680"/>
            <w:shd w:fill="F9FBFD"/>
            <w:tcMar>
              <w:top w:w="80" w:type="dxa"/>
              <w:bottom w:w="80" w:type="dxa"/>
              <w:left w:w="120" w:type="dxa"/>
              <w:right w:w="120" w:type="dxa"/>
            </w:tcMar>
          </w:tcPr>
          <w:p>
            <w:r>
              <w:rPr>
                <w:rFonts w:ascii="Calibri" w:hAnsi="Calibri"/>
                <w:color w:val="262626"/>
                <w:sz w:val="19"/>
              </w:rPr>
              <w:t>NYC Open Data — FDNY EMS Incident Dispatch Data (300,000 Records)</w:t>
            </w:r>
          </w:p>
        </w:tc>
      </w:tr>
      <w:tr>
        <w:trPr>
          <w:cantSplit/>
        </w:trPr>
        <w:tc>
          <w:tcPr>
            <w:tcW w:type="dxa" w:w="4680"/>
            <w:shd w:fill="FFFFFF"/>
            <w:tcMar>
              <w:top w:w="80" w:type="dxa"/>
              <w:bottom w:w="80" w:type="dxa"/>
              <w:left w:w="120" w:type="dxa"/>
              <w:right w:w="120" w:type="dxa"/>
            </w:tcMar>
          </w:tcPr>
          <w:p>
            <w:r>
              <w:rPr>
                <w:rFonts w:ascii="Calibri" w:hAnsi="Calibri"/>
                <w:b/>
                <w:color w:val="262626"/>
                <w:sz w:val="19"/>
              </w:rPr>
              <w:t>Geographic &amp; Capacity Sources:</w:t>
            </w:r>
          </w:p>
        </w:tc>
        <w:tc>
          <w:tcPr>
            <w:tcW w:type="dxa" w:w="4680"/>
            <w:shd w:fill="FFFFFF"/>
            <w:tcMar>
              <w:top w:w="80" w:type="dxa"/>
              <w:bottom w:w="80" w:type="dxa"/>
              <w:left w:w="120" w:type="dxa"/>
              <w:right w:w="120" w:type="dxa"/>
            </w:tcMar>
          </w:tcPr>
          <w:p>
            <w:r>
              <w:rPr>
                <w:rFonts w:ascii="Calibri" w:hAnsi="Calibri"/>
                <w:color w:val="262626"/>
                <w:sz w:val="19"/>
              </w:rPr>
              <w:t>NYC Acute Care Hospitals, NYS DOH Capacity, U.S. Census ZCTA Gazetteers</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Routing Engine:</w:t>
            </w:r>
          </w:p>
        </w:tc>
        <w:tc>
          <w:tcPr>
            <w:tcW w:type="dxa" w:w="4680"/>
            <w:shd w:fill="F9FBFD"/>
            <w:tcMar>
              <w:top w:w="80" w:type="dxa"/>
              <w:bottom w:w="80" w:type="dxa"/>
              <w:left w:w="120" w:type="dxa"/>
              <w:right w:w="120" w:type="dxa"/>
            </w:tcMar>
          </w:tcPr>
          <w:p>
            <w:r>
              <w:rPr>
                <w:rFonts w:ascii="Calibri" w:hAnsi="Calibri"/>
                <w:color w:val="262626"/>
                <w:sz w:val="19"/>
              </w:rPr>
              <w:t>OpenStreetMap Road Network &amp; Geodesic Circuity Matrix</w:t>
            </w:r>
          </w:p>
        </w:tc>
      </w:tr>
      <w:tr>
        <w:trPr>
          <w:cantSplit/>
        </w:trPr>
        <w:tc>
          <w:tcPr>
            <w:tcW w:type="dxa" w:w="4680"/>
            <w:shd w:fill="FFFFFF"/>
            <w:tcMar>
              <w:top w:w="80" w:type="dxa"/>
              <w:bottom w:w="80" w:type="dxa"/>
              <w:left w:w="120" w:type="dxa"/>
              <w:right w:w="120" w:type="dxa"/>
            </w:tcMar>
          </w:tcPr>
          <w:p>
            <w:r>
              <w:rPr>
                <w:rFonts w:ascii="Calibri" w:hAnsi="Calibri"/>
                <w:b/>
                <w:color w:val="262626"/>
                <w:sz w:val="19"/>
              </w:rPr>
              <w:t>Framework &amp; Architecture:</w:t>
            </w:r>
          </w:p>
        </w:tc>
        <w:tc>
          <w:tcPr>
            <w:tcW w:type="dxa" w:w="4680"/>
            <w:shd w:fill="FFFFFF"/>
            <w:tcMar>
              <w:top w:w="80" w:type="dxa"/>
              <w:bottom w:w="80" w:type="dxa"/>
              <w:left w:w="120" w:type="dxa"/>
              <w:right w:w="120" w:type="dxa"/>
            </w:tcMar>
          </w:tcPr>
          <w:p>
            <w:r>
              <w:rPr>
                <w:rFonts w:ascii="Calibri" w:hAnsi="Calibri"/>
                <w:color w:val="262626"/>
                <w:sz w:val="19"/>
              </w:rPr>
              <w:t>Stable-Baselines3 PyTorch Deep Q-Network (DQN) &amp; Custom Gymnasium Env</w:t>
            </w:r>
          </w:p>
        </w:tc>
      </w:tr>
    </w:tbl>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80" w:after="80"/>
            </w:pPr>
            <w:r>
              <w:rPr>
                <w:rFonts w:ascii="Calibri" w:hAnsi="Calibri"/>
                <w:b/>
                <w:color w:val="1F4E79"/>
                <w:sz w:val="22"/>
              </w:rPr>
              <w:t>📌 EXECUTIVE SUMMARY &amp; CORE RESEARCH HIGHLIGHTS</w:t>
              <w:br/>
            </w:r>
            <w:r>
              <w:rPr>
                <w:rFonts w:ascii="Calibri" w:hAnsi="Calibri"/>
                <w:i/>
                <w:color w:val="262626"/>
                <w:sz w:val="20"/>
              </w:rPr>
              <w:t>This research presents an end-to-end data-driven Deep Q-Network (DQN) decision-support architecture for dynamic emergency medical resource allocation. Using 300,000 real NYC EMS incidents, licensed hospital capacities from NYS Department of Health, Census ZCTA spatial centroids, and real road geometry, the trained DQN agent demonstrates zero hospital bed overload, robust allocation performance across severe congestion surge scenarios, and superior trade-offs between travel efficiency, capacity preservation, and emergency severity prioritization.</w:t>
            </w:r>
          </w:p>
        </w:tc>
      </w:tr>
    </w:tbl>
    <w:p/>
    <w:p>
      <w:r>
        <w:br w:type="page"/>
      </w:r>
    </w:p>
    <w:p>
      <w:pPr>
        <w:keepNext/>
        <w:spacing w:before="320" w:after="120"/>
      </w:pPr>
      <w:r>
        <w:rPr>
          <w:rFonts w:ascii="Calibri" w:hAnsi="Calibri"/>
          <w:b/>
          <w:color w:val="1F4E79"/>
          <w:sz w:val="36"/>
        </w:rPr>
        <w:t>1. Abstract</w:t>
      </w:r>
    </w:p>
    <w:p>
      <w:pPr>
        <w:spacing w:after="120" w:line="276" w:lineRule="auto"/>
      </w:pPr>
      <w:r>
        <w:rPr>
          <w:rFonts w:ascii="Calibri" w:hAnsi="Calibri"/>
          <w:color w:val="262626"/>
          <w:sz w:val="22"/>
        </w:rPr>
        <w:t>Urban Emergency Medical Services (EMS) face persistent operational challenges due to fluctuating emergency call volumes, urban traffic congestion, and unequal emergency department bed availability across acute-care hospital networks. Conventional dispatch systems rely primarily on myopic greedy heuristics—such as dispatching patients to the nearest geographical facility—which frequently causes severe overcrowding, ambulance turnaround delays, and emergency department diversion at primary medical centers, while neighboring community hospitals remain underutilized.</w:t>
      </w:r>
    </w:p>
    <w:p>
      <w:pPr>
        <w:spacing w:after="120" w:line="276" w:lineRule="auto"/>
      </w:pPr>
      <w:r>
        <w:rPr>
          <w:rFonts w:ascii="Calibri" w:hAnsi="Calibri"/>
          <w:color w:val="262626"/>
          <w:sz w:val="22"/>
        </w:rPr>
        <w:t>This report develops, evaluates, and documents a comprehensive dynamic Deep Reinforcement Learning (DQN) decision-support simulator grounded in empirical data from New York City. The simulation pipeline ingests 300,000 real EMS incident dispatch logs from NYC Open Data (covering call timing, emergency severity, call volume, and ZIP-level geography), real acute-care hospital facility locations from NYC Health + Hospitals, licensed bed capacities from the New York State Department of Health (NYS DOH), U.S. Census Bureau ZCTA spatial centroids, and road geometry. A multi-objective Markov Decision Process (MDP) is formulated within a custom Gymnasium environment, balancing travel time reduction, hospital utilization management, critical case prioritization, and overload avoidance.</w:t>
      </w:r>
    </w:p>
    <w:p>
      <w:pPr>
        <w:spacing w:after="120" w:line="276" w:lineRule="auto"/>
      </w:pPr>
      <w:r>
        <w:rPr>
          <w:rFonts w:ascii="Calibri" w:hAnsi="Calibri"/>
          <w:color w:val="262626"/>
          <w:sz w:val="22"/>
        </w:rPr>
        <w:t>Empirical evaluation across normal operating conditions, high congestion stress, critical capacity shortages, demand surge events, multi-seed statistical testing (5 random seeds), life-threatening emergency isolation, and Jain Resource Fairness testing confirms that the proposed DQN agent achieves highly stable performance. In normal operations, DQN maintains a 0.0% hospital overload rate and 100.0% successful allocation rate while dynamically distributing emergency demand across regional trauma networks. These findings demonstrate the practical potential of deep reinforcement learning as an operational decision-support tool for regional emergency medical dispatchers.</w:t>
      </w:r>
    </w:p>
    <w:p>
      <w:pPr>
        <w:spacing w:after="120" w:line="276" w:lineRule="auto"/>
      </w:pPr>
      <w:r>
        <w:rPr>
          <w:rFonts w:ascii="Calibri" w:hAnsi="Calibri"/>
          <w:b/>
          <w:color w:val="262626"/>
          <w:sz w:val="22"/>
        </w:rPr>
        <w:t>Index Terms—</w:t>
      </w:r>
      <w:r>
        <w:rPr>
          <w:rFonts w:ascii="Calibri" w:hAnsi="Calibri"/>
          <w:color w:val="262626"/>
          <w:sz w:val="22"/>
        </w:rPr>
        <w:t>Keywords: Deep Reinforcement Learning, Deep Q-Networks (DQN), Emergency Medical Services (EMS), Resource Allocation, OpenStreetMap Routing, Healthcare Operations Research, Smart Cities.</w:t>
      </w:r>
    </w:p>
    <w:p>
      <w:pPr>
        <w:keepNext/>
        <w:spacing w:before="320" w:after="120"/>
      </w:pPr>
      <w:r>
        <w:rPr>
          <w:rFonts w:ascii="Calibri" w:hAnsi="Calibri"/>
          <w:b/>
          <w:color w:val="1F4E79"/>
          <w:sz w:val="36"/>
        </w:rPr>
        <w:t>2. Introduction and Problem Statement</w:t>
      </w:r>
    </w:p>
    <w:p>
      <w:pPr>
        <w:keepNext/>
        <w:spacing w:before="240" w:after="80"/>
      </w:pPr>
      <w:r>
        <w:rPr>
          <w:rFonts w:ascii="Calibri" w:hAnsi="Calibri"/>
          <w:b/>
          <w:color w:val="2F5597"/>
          <w:sz w:val="28"/>
        </w:rPr>
        <w:t>2.1 Background and Operational Context</w:t>
      </w:r>
    </w:p>
    <w:p>
      <w:pPr>
        <w:spacing w:after="120" w:line="276" w:lineRule="auto"/>
      </w:pPr>
      <w:r>
        <w:rPr>
          <w:rFonts w:ascii="Calibri" w:hAnsi="Calibri"/>
          <w:color w:val="262626"/>
          <w:sz w:val="22"/>
        </w:rPr>
        <w:t>Emergency Medical Services (EMS) form the critical frontline infrastructure of urban public health systems. In high-density metropolitan areas like New York City, emergency dispatchers process thousands of calls daily ranging from minor non-emergent medical transfers to life-threatening cardiac arrests, severe traumas, and respiratory distress events. Efficiently allocating patient transport from incident origins to receiving hospitals is a complex, time-critical dynamic decision-making problem under severe stochasticity.</w:t>
      </w:r>
    </w:p>
    <w:p>
      <w:pPr>
        <w:spacing w:after="120" w:line="276" w:lineRule="auto"/>
      </w:pPr>
      <w:r>
        <w:rPr>
          <w:rFonts w:ascii="Calibri" w:hAnsi="Calibri"/>
          <w:color w:val="262626"/>
          <w:sz w:val="22"/>
        </w:rPr>
        <w:t>Traditionally, EMS transport policies operate under simple deterministic rules. The most prevalent rule in operational practice is the Nearest Hospital Heuristic, which routes ambulances strictly to the nearest facility with an open emergency department. While nearest-facility routing minimizes pre-hospital transport distance for individual incidents, it completely ignores the operational state of the hospital network. When emergency call volume surges or when multiple incidents occur within the spatial catchment area of a major medical center, nearest-facility routing directs dozens of ambulances simultaneously to the same facility, resulting in emergency room gridlock, long offload delays, and eventual ambulance diversion.</w:t>
      </w:r>
    </w:p>
    <w:p>
      <w:pPr>
        <w:keepNext/>
        <w:spacing w:before="240" w:after="80"/>
      </w:pPr>
      <w:r>
        <w:rPr>
          <w:rFonts w:ascii="Calibri" w:hAnsi="Calibri"/>
          <w:b/>
          <w:color w:val="2F5597"/>
          <w:sz w:val="28"/>
        </w:rPr>
        <w:t>2.2 Problem Formulation &amp; Multi-Objective Trade-offs</w:t>
      </w:r>
    </w:p>
    <w:p>
      <w:pPr>
        <w:spacing w:after="120" w:line="276" w:lineRule="auto"/>
      </w:pPr>
      <w:r>
        <w:rPr>
          <w:rFonts w:ascii="Calibri" w:hAnsi="Calibri"/>
          <w:color w:val="262626"/>
          <w:sz w:val="22"/>
        </w:rPr>
        <w:t>The dynamic emergency resource allocation problem presents a fundamental multi-objective operational tension:</w:t>
      </w:r>
    </w:p>
    <w:p>
      <w:pPr>
        <w:spacing w:after="120" w:line="276" w:lineRule="auto"/>
      </w:pPr>
      <w:r>
        <w:rPr>
          <w:rFonts w:ascii="Calibri" w:hAnsi="Calibri"/>
          <w:b/>
          <w:color w:val="262626"/>
          <w:sz w:val="22"/>
        </w:rPr>
        <w:t xml:space="preserve">Objective 1 — </w:t>
      </w:r>
      <w:r>
        <w:rPr>
          <w:rFonts w:ascii="Calibri" w:hAnsi="Calibri"/>
          <w:color w:val="262626"/>
          <w:sz w:val="22"/>
        </w:rPr>
        <w:t>1. Pre-Hospital Travel Minimization: Reducing ambulance travel time directly improves clinical outcomes for acute, time-sensitive emergency medical conditions (e.g., stroke, myocardial infarction, severe trauma).</w:t>
      </w:r>
    </w:p>
    <w:p>
      <w:pPr>
        <w:spacing w:after="120" w:line="276" w:lineRule="auto"/>
      </w:pPr>
      <w:r>
        <w:rPr>
          <w:rFonts w:ascii="Calibri" w:hAnsi="Calibri"/>
          <w:b/>
          <w:color w:val="262626"/>
          <w:sz w:val="22"/>
        </w:rPr>
        <w:t xml:space="preserve">Objective 2 — </w:t>
      </w:r>
      <w:r>
        <w:rPr>
          <w:rFonts w:ascii="Calibri" w:hAnsi="Calibri"/>
          <w:color w:val="262626"/>
          <w:sz w:val="22"/>
        </w:rPr>
        <w:t>2. Hospital Capacity &amp; Load Balancing: Distributing patient arrivals across receiving facilities prevents bed saturation, preserves emergency department surge capacity, and eliminates ambulance diversion delays.</w:t>
      </w:r>
    </w:p>
    <w:p>
      <w:pPr>
        <w:spacing w:after="120" w:line="276" w:lineRule="auto"/>
      </w:pPr>
      <w:r>
        <w:rPr>
          <w:rFonts w:ascii="Calibri" w:hAnsi="Calibri"/>
          <w:b/>
          <w:color w:val="262626"/>
          <w:sz w:val="22"/>
        </w:rPr>
        <w:t xml:space="preserve">Objective 3 — </w:t>
      </w:r>
      <w:r>
        <w:rPr>
          <w:rFonts w:ascii="Calibri" w:hAnsi="Calibri"/>
          <w:color w:val="262626"/>
          <w:sz w:val="22"/>
        </w:rPr>
        <w:t>3. Triage &amp; Severity Sensitivity: Critical life-threatening emergencies must receive immediate high-priority transport to major trauma centers, whereas non-critical cases can be safely routed to secondary community hospitals with available bed capacity.</w:t>
      </w:r>
    </w:p>
    <w:p>
      <w:pPr>
        <w:keepNext/>
        <w:spacing w:before="240" w:after="80"/>
      </w:pPr>
      <w:r>
        <w:rPr>
          <w:rFonts w:ascii="Calibri" w:hAnsi="Calibri"/>
          <w:b/>
          <w:color w:val="2F5597"/>
          <w:sz w:val="28"/>
        </w:rPr>
        <w:t>2.3 Spatial Privacy &amp; Data Honesty Framework</w:t>
      </w:r>
    </w:p>
    <w:p>
      <w:pPr>
        <w:spacing w:after="120" w:line="276" w:lineRule="auto"/>
      </w:pPr>
      <w:r>
        <w:rPr>
          <w:rFonts w:ascii="Calibri" w:hAnsi="Calibri"/>
          <w:color w:val="262626"/>
          <w:sz w:val="22"/>
        </w:rPr>
        <w:t>A fundamental requirement of real-world healthcare analytics is data honesty regarding spatial privacy and data simulation boundaries. Public EMS datasets intentionally aggregate incident locations to ZIP codes or community districts to protect patient medical privacy under HIPAA standards. Consequently, this study establishes an explicit three-tier data honesty hierarchy:</w:t>
      </w:r>
    </w:p>
    <w:p>
      <w:pPr>
        <w:spacing w:after="120" w:line="276" w:lineRule="auto"/>
      </w:pPr>
      <w:r>
        <w:rPr>
          <w:rFonts w:ascii="Calibri" w:hAnsi="Calibri"/>
          <w:b/>
          <w:color w:val="262626"/>
          <w:sz w:val="22"/>
        </w:rPr>
        <w:t xml:space="preserve">1. Empirical Data: </w:t>
      </w:r>
      <w:r>
        <w:rPr>
          <w:rFonts w:ascii="Calibri" w:hAnsi="Calibri"/>
          <w:color w:val="262626"/>
          <w:sz w:val="22"/>
        </w:rPr>
        <w:t>• Real Data: 300,000 FDNY EMS incident dispatch records (timestamps, severity codes, call types, travel durations, borough, ZIP codes) and official NYC acute-care hospital spatial coordinates.</w:t>
      </w:r>
    </w:p>
    <w:p>
      <w:pPr>
        <w:spacing w:after="120" w:line="276" w:lineRule="auto"/>
      </w:pPr>
      <w:r>
        <w:rPr>
          <w:rFonts w:ascii="Calibri" w:hAnsi="Calibri"/>
          <w:b/>
          <w:color w:val="262626"/>
          <w:sz w:val="22"/>
        </w:rPr>
        <w:t xml:space="preserve">2. Derived Spatial Proxies: </w:t>
      </w:r>
      <w:r>
        <w:rPr>
          <w:rFonts w:ascii="Calibri" w:hAnsi="Calibri"/>
          <w:color w:val="262626"/>
          <w:sz w:val="22"/>
        </w:rPr>
        <w:t>• Estimated Data: U.S. Census ZCTA spatial centroids used as geographic proxies for masked incident locations, and NYS Department of Health licensed bed capacities matched via string fuzzy matching.</w:t>
      </w:r>
    </w:p>
    <w:p>
      <w:pPr>
        <w:spacing w:after="120" w:line="276" w:lineRule="auto"/>
      </w:pPr>
      <w:r>
        <w:rPr>
          <w:rFonts w:ascii="Calibri" w:hAnsi="Calibri"/>
          <w:b/>
          <w:color w:val="262626"/>
          <w:sz w:val="22"/>
        </w:rPr>
        <w:t xml:space="preserve">3. Simulated Dynamics: </w:t>
      </w:r>
      <w:r>
        <w:rPr>
          <w:rFonts w:ascii="Calibri" w:hAnsi="Calibri"/>
          <w:color w:val="262626"/>
          <w:sz w:val="22"/>
        </w:rPr>
        <w:t>• Simulated Data: Dynamic hospital bed occupancy state transitions, stochastic patient discharge queues, and severity-dependent emergency department service durations.</w:t>
      </w:r>
    </w:p>
    <w:p>
      <w:pPr>
        <w:keepNext/>
        <w:spacing w:before="240" w:after="80"/>
      </w:pPr>
      <w:r>
        <w:rPr>
          <w:rFonts w:ascii="Calibri" w:hAnsi="Calibri"/>
          <w:b/>
          <w:color w:val="2F5597"/>
          <w:sz w:val="28"/>
        </w:rPr>
        <w:t>2.4 Primary Research Question</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none"/>
              <w:left w:val="single" w:sz="36" w:space="0" w:color="1F4E79"/>
              <w:bottom w:val="none"/>
              <w:right w:val="none"/>
            </w:tcBorders>
          </w:tcPr>
          <w:p>
            <w:pPr>
              <w:spacing w:before="80" w:after="80"/>
            </w:pPr>
            <w:r>
              <w:rPr>
                <w:rFonts w:ascii="Calibri" w:hAnsi="Calibri"/>
                <w:b/>
                <w:color w:val="1F4E79"/>
                <w:sz w:val="22"/>
              </w:rPr>
              <w:t>📌 PRIMARY RESEARCH QUESTION</w:t>
              <w:br/>
            </w:r>
            <w:r>
              <w:rPr>
                <w:rFonts w:ascii="Calibri" w:hAnsi="Calibri"/>
                <w:i/>
                <w:color w:val="262626"/>
                <w:sz w:val="20"/>
              </w:rPr>
              <w:t>Can Deep Reinforcement Learning (DQN) dynamically allocate EMS patient transport to geographically distributed hospitals more effectively than conventional distance-only and capacity-first heuristics under changing resource constraints, high congestion, and emergency severity variations?</w:t>
            </w:r>
          </w:p>
        </w:tc>
      </w:tr>
    </w:tbl>
    <w:p/>
    <w:p>
      <w:pPr>
        <w:keepNext/>
        <w:spacing w:before="320" w:after="120"/>
      </w:pPr>
      <w:r>
        <w:rPr>
          <w:rFonts w:ascii="Calibri" w:hAnsi="Calibri"/>
          <w:b/>
          <w:color w:val="1F4E79"/>
          <w:sz w:val="36"/>
        </w:rPr>
        <w:t>3. Background Theory</w:t>
      </w:r>
    </w:p>
    <w:p>
      <w:pPr>
        <w:keepNext/>
        <w:spacing w:before="240" w:after="80"/>
      </w:pPr>
      <w:r>
        <w:rPr>
          <w:rFonts w:ascii="Calibri" w:hAnsi="Calibri"/>
          <w:b/>
          <w:color w:val="2F5597"/>
          <w:sz w:val="28"/>
        </w:rPr>
        <w:t>3.1 Markov Decision Processes (MDP)</w:t>
      </w:r>
    </w:p>
    <w:p>
      <w:pPr>
        <w:spacing w:after="120" w:line="276" w:lineRule="auto"/>
      </w:pPr>
      <w:r>
        <w:rPr>
          <w:rFonts w:ascii="Calibri" w:hAnsi="Calibri"/>
          <w:color w:val="262626"/>
          <w:sz w:val="22"/>
        </w:rPr>
        <w:t>Sequential decision-making under uncertainty is formally modeled as a discrete-time Markov Decision Process defined by the tuple (S, A, P, R, gamma):</w:t>
      </w:r>
    </w:p>
    <w:p>
      <w:pPr>
        <w:spacing w:after="120" w:line="276" w:lineRule="auto"/>
      </w:pPr>
      <w:r>
        <w:rPr>
          <w:rFonts w:ascii="Calibri" w:hAnsi="Calibri"/>
          <w:b/>
          <w:color w:val="262626"/>
          <w:sz w:val="22"/>
        </w:rPr>
        <w:t xml:space="preserve">State Space (S): </w:t>
      </w:r>
      <w:r>
        <w:rPr>
          <w:rFonts w:ascii="Calibri" w:hAnsi="Calibri"/>
          <w:color w:val="262626"/>
          <w:sz w:val="22"/>
        </w:rPr>
        <w:t>• S: The set of environment states representing spatial incident context, temporal features, demand intensity, and real-time hospital occupancy levels.</w:t>
      </w:r>
    </w:p>
    <w:p>
      <w:pPr>
        <w:spacing w:after="120" w:line="276" w:lineRule="auto"/>
      </w:pPr>
      <w:r>
        <w:rPr>
          <w:rFonts w:ascii="Calibri" w:hAnsi="Calibri"/>
          <w:b/>
          <w:color w:val="262626"/>
          <w:sz w:val="22"/>
        </w:rPr>
        <w:t xml:space="preserve">Action Space (A): </w:t>
      </w:r>
      <w:r>
        <w:rPr>
          <w:rFonts w:ascii="Calibri" w:hAnsi="Calibri"/>
          <w:color w:val="262626"/>
          <w:sz w:val="22"/>
        </w:rPr>
        <w:t>• A: The discrete action space representing the choice of receiving hospital facility.</w:t>
      </w:r>
    </w:p>
    <w:p>
      <w:pPr>
        <w:spacing w:after="120" w:line="276" w:lineRule="auto"/>
      </w:pPr>
      <w:r>
        <w:rPr>
          <w:rFonts w:ascii="Calibri" w:hAnsi="Calibri"/>
          <w:b/>
          <w:color w:val="262626"/>
          <w:sz w:val="22"/>
        </w:rPr>
        <w:t xml:space="preserve">Transition Dynamics (P): </w:t>
      </w:r>
      <w:r>
        <w:rPr>
          <w:rFonts w:ascii="Calibri" w:hAnsi="Calibri"/>
          <w:color w:val="262626"/>
          <w:sz w:val="22"/>
        </w:rPr>
        <w:t>• P(s' | s, a): Transition probability distribution governing patient admission, occupancy accumulation, and stochastic patient service discharge queues.</w:t>
      </w:r>
    </w:p>
    <w:p>
      <w:pPr>
        <w:spacing w:after="120" w:line="276" w:lineRule="auto"/>
      </w:pPr>
      <w:r>
        <w:rPr>
          <w:rFonts w:ascii="Calibri" w:hAnsi="Calibri"/>
          <w:b/>
          <w:color w:val="262626"/>
          <w:sz w:val="22"/>
        </w:rPr>
        <w:t xml:space="preserve">Reward Function (R): </w:t>
      </w:r>
      <w:r>
        <w:rPr>
          <w:rFonts w:ascii="Calibri" w:hAnsi="Calibri"/>
          <w:color w:val="262626"/>
          <w:sz w:val="22"/>
        </w:rPr>
        <w:t>• R(s, a): Multi-objective scalar reward feedback penalizing travel duration, capacity overload, and critical case delays while rewarding successful allocation.</w:t>
      </w:r>
    </w:p>
    <w:p>
      <w:pPr>
        <w:spacing w:after="120" w:line="276" w:lineRule="auto"/>
      </w:pPr>
      <w:r>
        <w:rPr>
          <w:rFonts w:ascii="Calibri" w:hAnsi="Calibri"/>
          <w:b/>
          <w:color w:val="262626"/>
          <w:sz w:val="22"/>
        </w:rPr>
        <w:t xml:space="preserve">Discount Factor (gamma): </w:t>
      </w:r>
      <w:r>
        <w:rPr>
          <w:rFonts w:ascii="Calibri" w:hAnsi="Calibri"/>
          <w:color w:val="262626"/>
          <w:sz w:val="22"/>
        </w:rPr>
        <w:t>• gamma in [0, 1): The discount factor weighting future long-term reward cumulative impact (set to 0.98).</w:t>
      </w:r>
    </w:p>
    <w:p>
      <w:pPr>
        <w:keepNext/>
        <w:spacing w:before="240" w:after="80"/>
      </w:pPr>
      <w:r>
        <w:rPr>
          <w:rFonts w:ascii="Calibri" w:hAnsi="Calibri"/>
          <w:b/>
          <w:color w:val="2F5597"/>
          <w:sz w:val="28"/>
        </w:rPr>
        <w:t>3.2 Deep Q-Learning (DQN)</w:t>
      </w:r>
    </w:p>
    <w:p>
      <w:pPr>
        <w:spacing w:after="120" w:line="276" w:lineRule="auto"/>
      </w:pPr>
      <w:r>
        <w:rPr>
          <w:rFonts w:ascii="Calibri" w:hAnsi="Calibri"/>
          <w:color w:val="262626"/>
          <w:sz w:val="22"/>
        </w:rPr>
        <w:t>In continuous or high-dimensional state spaces, tabular Q-learning becomes intractable. Deep Q-Networks approximate the action-value function Q(s, a; theta) using deep neural networks parameterized by weights theta. The optimal Q-value function obeys the Bellman optimality equation:</w:t>
      </w:r>
    </w:p>
    <w:p>
      <w:pPr>
        <w:spacing w:after="120" w:line="276" w:lineRule="auto"/>
      </w:pPr>
      <w:r>
        <w:rPr>
          <w:rFonts w:ascii="Calibri" w:hAnsi="Calibri"/>
          <w:color w:val="262626"/>
          <w:sz w:val="22"/>
        </w:rPr>
        <w:t>Q*(s, a) = E [ R_{t+1} + gamma * max_{a'} Q*(s_{t+1}, a') | s_t = s, a_t = a ]</w:t>
      </w:r>
    </w:p>
    <w:p>
      <w:pPr>
        <w:spacing w:after="120" w:line="276" w:lineRule="auto"/>
      </w:pPr>
      <w:r>
        <w:rPr>
          <w:rFonts w:ascii="Calibri" w:hAnsi="Calibri"/>
          <w:color w:val="262626"/>
          <w:sz w:val="22"/>
        </w:rPr>
        <w:t>DQN stabilizes neural network learning through two core architectural mechanisms introduced by Mnih et al. (2015):</w:t>
      </w:r>
    </w:p>
    <w:p>
      <w:pPr>
        <w:spacing w:after="120" w:line="276" w:lineRule="auto"/>
      </w:pPr>
      <w:r>
        <w:rPr>
          <w:rFonts w:ascii="Calibri" w:hAnsi="Calibri"/>
          <w:b/>
          <w:color w:val="262626"/>
          <w:sz w:val="22"/>
        </w:rPr>
        <w:t xml:space="preserve">Replay Memory: </w:t>
      </w:r>
      <w:r>
        <w:rPr>
          <w:rFonts w:ascii="Calibri" w:hAnsi="Calibri"/>
          <w:color w:val="262626"/>
          <w:sz w:val="22"/>
        </w:rPr>
        <w:t>1. Experience Replay Buffer (D): Transitions (s_t, a_t, r_t, s_{t+1}, d_t) are stored in a rolling buffer of capacity 50,000. Random mini-batches of size 64 are sampled during training to break temporal correlations between sequential observations.</w:t>
      </w:r>
    </w:p>
    <w:p>
      <w:pPr>
        <w:spacing w:after="120" w:line="276" w:lineRule="auto"/>
      </w:pPr>
      <w:r>
        <w:rPr>
          <w:rFonts w:ascii="Calibri" w:hAnsi="Calibri"/>
          <w:b/>
          <w:color w:val="262626"/>
          <w:sz w:val="22"/>
        </w:rPr>
        <w:t xml:space="preserve">Target Q-Network: </w:t>
      </w:r>
      <w:r>
        <w:rPr>
          <w:rFonts w:ascii="Calibri" w:hAnsi="Calibri"/>
          <w:color w:val="262626"/>
          <w:sz w:val="22"/>
        </w:rPr>
        <w:t>2. Target Network (theta^-): A secondary target network provides stable Q-value targets for loss minimization. Target network weights are updated periodically (every 2,000 steps) to eliminate policy oscillation.</w:t>
      </w:r>
    </w:p>
    <w:p>
      <w:pPr>
        <w:spacing w:after="120" w:line="276" w:lineRule="auto"/>
      </w:pPr>
      <w:r>
        <w:rPr>
          <w:rFonts w:ascii="Calibri" w:hAnsi="Calibri"/>
          <w:color w:val="262626"/>
          <w:sz w:val="22"/>
        </w:rPr>
        <w:t>The network parameters theta are optimized by minimizing the mean squared Bellman error loss:</w:t>
      </w:r>
    </w:p>
    <w:p>
      <w:pPr>
        <w:spacing w:after="120" w:line="276" w:lineRule="auto"/>
      </w:pPr>
      <w:r>
        <w:rPr>
          <w:rFonts w:ascii="Calibri" w:hAnsi="Calibri"/>
          <w:color w:val="262626"/>
          <w:sz w:val="22"/>
        </w:rPr>
        <w:t>L(theta) = E_{(s,a,r,s') ~ D} [ ( r + gamma * max_{a'} Q(s', a'; theta^-) - Q(s, a; theta) )^2 ]</w:t>
      </w:r>
    </w:p>
    <w:p>
      <w:pPr>
        <w:keepNext/>
        <w:spacing w:before="240" w:after="80"/>
      </w:pPr>
      <w:r>
        <w:rPr>
          <w:rFonts w:ascii="Calibri" w:hAnsi="Calibri"/>
          <w:b/>
          <w:color w:val="2F5597"/>
          <w:sz w:val="28"/>
        </w:rPr>
        <w:t>3.3 Non-RL Baseline Decision Policies</w:t>
      </w:r>
    </w:p>
    <w:p>
      <w:pPr>
        <w:spacing w:after="120" w:line="276" w:lineRule="auto"/>
      </w:pPr>
      <w:r>
        <w:rPr>
          <w:rFonts w:ascii="Calibri" w:hAnsi="Calibri"/>
          <w:color w:val="262626"/>
          <w:sz w:val="22"/>
        </w:rPr>
        <w:t>To rigorously evaluate DQN performance, four non-RL baseline strategies are evaluated under identical state transitions and environmental seeds:</w:t>
      </w:r>
    </w:p>
    <w:p>
      <w:pPr>
        <w:spacing w:after="120" w:line="276" w:lineRule="auto"/>
      </w:pPr>
      <w:r>
        <w:rPr>
          <w:rFonts w:ascii="Calibri" w:hAnsi="Calibri"/>
          <w:b/>
          <w:color w:val="262626"/>
          <w:sz w:val="22"/>
        </w:rPr>
        <w:t xml:space="preserve">1. Nearest Available: </w:t>
      </w:r>
      <w:r>
        <w:rPr>
          <w:rFonts w:ascii="Calibri" w:hAnsi="Calibri"/>
          <w:color w:val="262626"/>
          <w:sz w:val="22"/>
        </w:rPr>
        <w:t>• Nearest Available Policy: Selects the geographically closest hospital among all facilities with available bed capacity.</w:t>
      </w:r>
    </w:p>
    <w:p>
      <w:pPr>
        <w:spacing w:after="120" w:line="276" w:lineRule="auto"/>
      </w:pPr>
      <w:r>
        <w:rPr>
          <w:rFonts w:ascii="Calibri" w:hAnsi="Calibri"/>
          <w:b/>
          <w:color w:val="262626"/>
          <w:sz w:val="22"/>
        </w:rPr>
        <w:t xml:space="preserve">2. Capacity-First: </w:t>
      </w:r>
      <w:r>
        <w:rPr>
          <w:rFonts w:ascii="Calibri" w:hAnsi="Calibri"/>
          <w:color w:val="262626"/>
          <w:sz w:val="22"/>
        </w:rPr>
        <w:t>• Capacity-First Policy: Selects the hospital with the maximum fraction of unallocated free bed capacity.</w:t>
      </w:r>
    </w:p>
    <w:p>
      <w:pPr>
        <w:spacing w:after="120" w:line="276" w:lineRule="auto"/>
      </w:pPr>
      <w:r>
        <w:rPr>
          <w:rFonts w:ascii="Calibri" w:hAnsi="Calibri"/>
          <w:b/>
          <w:color w:val="262626"/>
          <w:sz w:val="22"/>
        </w:rPr>
        <w:t xml:space="preserve">3. Weighted Heuristic: </w:t>
      </w:r>
      <w:r>
        <w:rPr>
          <w:rFonts w:ascii="Calibri" w:hAnsi="Calibri"/>
          <w:color w:val="262626"/>
          <w:sz w:val="22"/>
        </w:rPr>
        <w:t>• Weighted Distance-Capacity Heuristic: Evaluates a linear combination of normalized travel distance and current utilization, adjusting weights dynamically based on emergency severity.</w:t>
      </w:r>
    </w:p>
    <w:p>
      <w:pPr>
        <w:spacing w:after="120" w:line="276" w:lineRule="auto"/>
      </w:pPr>
      <w:r>
        <w:rPr>
          <w:rFonts w:ascii="Calibri" w:hAnsi="Calibri"/>
          <w:b/>
          <w:color w:val="262626"/>
          <w:sz w:val="22"/>
        </w:rPr>
        <w:t xml:space="preserve">4. Random Dispatch: </w:t>
      </w:r>
      <w:r>
        <w:rPr>
          <w:rFonts w:ascii="Calibri" w:hAnsi="Calibri"/>
          <w:color w:val="262626"/>
          <w:sz w:val="22"/>
        </w:rPr>
        <w:t>• Uniform Random Policy: Selects an available receiving hospital uniformly at random as an empirical lower baseline.</w:t>
      </w:r>
    </w:p>
    <w:p>
      <w:pPr>
        <w:keepNext/>
        <w:spacing w:before="240" w:after="80"/>
      </w:pPr>
      <w:r>
        <w:rPr>
          <w:rFonts w:ascii="Calibri" w:hAnsi="Calibri"/>
          <w:b/>
          <w:color w:val="2F5597"/>
          <w:sz w:val="28"/>
        </w:rPr>
        <w:t>3.4 Resource Equity &amp; Jain Fairness Index</w:t>
      </w:r>
    </w:p>
    <w:p>
      <w:pPr>
        <w:spacing w:after="120" w:line="276" w:lineRule="auto"/>
      </w:pPr>
      <w:r>
        <w:rPr>
          <w:rFonts w:ascii="Calibri" w:hAnsi="Calibri"/>
          <w:color w:val="262626"/>
          <w:sz w:val="22"/>
        </w:rPr>
        <w:t>Resource allocation fairness across regional hospital facilities is evaluated using Jain's Fairness Index (Jain et al., 1984), defined over hospital load vector x = [x_1, x_2, ..., x_n]:</w:t>
      </w:r>
    </w:p>
    <w:p>
      <w:pPr>
        <w:spacing w:after="120" w:line="276" w:lineRule="auto"/>
      </w:pPr>
      <w:r>
        <w:rPr>
          <w:rFonts w:ascii="Calibri" w:hAnsi="Calibri"/>
          <w:color w:val="262626"/>
          <w:sz w:val="22"/>
        </w:rPr>
        <w:t>J(x) = ( sum_{i=1}^n x_i )^2 / ( n * sum_{i=1}^n x_i^2 )</w:t>
      </w:r>
    </w:p>
    <w:p>
      <w:pPr>
        <w:spacing w:after="120" w:line="276" w:lineRule="auto"/>
      </w:pPr>
      <w:r>
        <w:rPr>
          <w:rFonts w:ascii="Calibri" w:hAnsi="Calibri"/>
          <w:color w:val="262626"/>
          <w:sz w:val="22"/>
        </w:rPr>
        <w:t>A Jain Index of 1.0 indicates perfectly equal bed utilization across all regional receiving facilities, whereas lower values indicate severe operational imbalance and localized hospital congestion.</w:t>
      </w:r>
    </w:p>
    <w:p>
      <w:pPr>
        <w:keepNext/>
        <w:spacing w:before="320" w:after="120"/>
      </w:pPr>
      <w:r>
        <w:rPr>
          <w:rFonts w:ascii="Calibri" w:hAnsi="Calibri"/>
          <w:b/>
          <w:color w:val="1F4E79"/>
          <w:sz w:val="36"/>
        </w:rPr>
        <w:t>4. Methodology / Implementation Details</w:t>
      </w:r>
    </w:p>
    <w:p>
      <w:pPr>
        <w:keepNext/>
        <w:spacing w:before="240" w:after="80"/>
      </w:pPr>
      <w:r>
        <w:rPr>
          <w:rFonts w:ascii="Calibri" w:hAnsi="Calibri"/>
          <w:b/>
          <w:color w:val="2F5597"/>
          <w:sz w:val="28"/>
        </w:rPr>
        <w:t>4.1 Data Pipeline and Geographic Feature Engineering</w:t>
      </w:r>
    </w:p>
    <w:p>
      <w:pPr>
        <w:spacing w:after="120" w:line="276" w:lineRule="auto"/>
      </w:pPr>
      <w:r>
        <w:rPr>
          <w:rFonts w:ascii="Calibri" w:hAnsi="Calibri"/>
          <w:color w:val="262626"/>
          <w:sz w:val="22"/>
        </w:rPr>
        <w:t>The data ingestion pipeline processes 300,000 raw EMS incident records from NYC Open Data covering the full calendar year 2025. Data cleaning filters out missing timestamps, invalid ZIP codes, extreme travel times (&gt;3600s), and unclassified severity codes, yielding 274,964 clean real-world incident records.</w:t>
      </w:r>
    </w:p>
    <w:tbl>
      <w:tblPr>
        <w:tblW w:type="auto" w:w="0"/>
        <w:jc w:val="center"/>
        <w:tblLook w:firstColumn="1" w:firstRow="1" w:lastColumn="0" w:lastRow="0" w:noHBand="0" w:noVBand="1" w:val="04A0"/>
      </w:tblPr>
      <w:tblGrid>
        <w:gridCol w:w="4680"/>
        <w:gridCol w:w="4680"/>
      </w:tblGrid>
      <w:tr>
        <w:trPr>
          <w:cantSplit/>
          <w:tblHeader/>
        </w:trPr>
        <w:tc>
          <w:tcPr>
            <w:tcW w:type="dxa" w:w="4680"/>
            <w:shd w:fill="1F4E79"/>
            <w:tcMar>
              <w:top w:w="100" w:type="dxa"/>
              <w:bottom w:w="100" w:type="dxa"/>
              <w:left w:w="120" w:type="dxa"/>
              <w:right w:w="120" w:type="dxa"/>
            </w:tcMar>
          </w:tcPr>
          <w:p>
            <w:pPr>
              <w:jc w:val="center"/>
            </w:pPr>
            <w:r>
              <w:rPr>
                <w:rFonts w:ascii="Calibri" w:hAnsi="Calibri"/>
                <w:b/>
                <w:color w:val="FFFFFF"/>
                <w:sz w:val="20"/>
              </w:rPr>
              <w:t>Raw EMS Incidents Ingested</w:t>
            </w:r>
          </w:p>
        </w:tc>
        <w:tc>
          <w:tcPr>
            <w:tcW w:type="dxa" w:w="4680"/>
            <w:shd w:fill="1F4E79"/>
            <w:tcMar>
              <w:top w:w="100" w:type="dxa"/>
              <w:bottom w:w="100" w:type="dxa"/>
              <w:left w:w="120" w:type="dxa"/>
              <w:right w:w="120" w:type="dxa"/>
            </w:tcMar>
          </w:tcPr>
          <w:p>
            <w:pPr>
              <w:jc w:val="center"/>
            </w:pPr>
            <w:r>
              <w:rPr>
                <w:rFonts w:ascii="Calibri" w:hAnsi="Calibri"/>
                <w:b/>
                <w:color w:val="FFFFFF"/>
                <w:sz w:val="20"/>
              </w:rPr>
              <w:t>300,000 Records</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Clean Validated EMS Dataset</w:t>
            </w:r>
          </w:p>
        </w:tc>
        <w:tc>
          <w:tcPr>
            <w:tcW w:type="dxa" w:w="4680"/>
            <w:shd w:fill="F9FBFD"/>
            <w:tcMar>
              <w:top w:w="80" w:type="dxa"/>
              <w:bottom w:w="80" w:type="dxa"/>
              <w:left w:w="120" w:type="dxa"/>
              <w:right w:w="120" w:type="dxa"/>
            </w:tcMar>
          </w:tcPr>
          <w:p>
            <w:r>
              <w:rPr>
                <w:rFonts w:ascii="Calibri" w:hAnsi="Calibri"/>
                <w:color w:val="262626"/>
                <w:sz w:val="19"/>
              </w:rPr>
              <w:t>274,964 Records</w:t>
            </w:r>
          </w:p>
        </w:tc>
      </w:tr>
      <w:tr>
        <w:trPr>
          <w:cantSplit/>
        </w:trPr>
        <w:tc>
          <w:tcPr>
            <w:tcW w:type="dxa" w:w="4680"/>
            <w:shd w:fill="FFFFFF"/>
            <w:tcMar>
              <w:top w:w="80" w:type="dxa"/>
              <w:bottom w:w="80" w:type="dxa"/>
              <w:left w:w="120" w:type="dxa"/>
              <w:right w:w="120" w:type="dxa"/>
            </w:tcMar>
          </w:tcPr>
          <w:p>
            <w:r>
              <w:rPr>
                <w:rFonts w:ascii="Calibri" w:hAnsi="Calibri"/>
                <w:b/>
                <w:color w:val="262626"/>
                <w:sz w:val="19"/>
              </w:rPr>
              <w:t>Unique Demand ZIP Codes</w:t>
            </w:r>
          </w:p>
        </w:tc>
        <w:tc>
          <w:tcPr>
            <w:tcW w:type="dxa" w:w="4680"/>
            <w:shd w:fill="FFFFFF"/>
            <w:tcMar>
              <w:top w:w="80" w:type="dxa"/>
              <w:bottom w:w="80" w:type="dxa"/>
              <w:left w:w="120" w:type="dxa"/>
              <w:right w:w="120" w:type="dxa"/>
            </w:tcMar>
          </w:tcPr>
          <w:p>
            <w:r>
              <w:rPr>
                <w:rFonts w:ascii="Calibri" w:hAnsi="Calibri"/>
                <w:color w:val="262626"/>
                <w:sz w:val="19"/>
              </w:rPr>
              <w:t>229 Spatial Zones</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Empirical Median Travel Duration</w:t>
            </w:r>
          </w:p>
        </w:tc>
        <w:tc>
          <w:tcPr>
            <w:tcW w:type="dxa" w:w="4680"/>
            <w:shd w:fill="F9FBFD"/>
            <w:tcMar>
              <w:top w:w="80" w:type="dxa"/>
              <w:bottom w:w="80" w:type="dxa"/>
              <w:left w:w="120" w:type="dxa"/>
              <w:right w:w="120" w:type="dxa"/>
            </w:tcMar>
          </w:tcPr>
          <w:p>
            <w:r>
              <w:rPr>
                <w:rFonts w:ascii="Calibri" w:hAnsi="Calibri"/>
                <w:color w:val="262626"/>
                <w:sz w:val="19"/>
              </w:rPr>
              <w:t>10.60 Minutes</w:t>
            </w:r>
          </w:p>
        </w:tc>
      </w:tr>
      <w:tr>
        <w:trPr>
          <w:cantSplit/>
        </w:trPr>
        <w:tc>
          <w:tcPr>
            <w:tcW w:type="dxa" w:w="4680"/>
            <w:shd w:fill="FFFFFF"/>
            <w:tcMar>
              <w:top w:w="80" w:type="dxa"/>
              <w:bottom w:w="80" w:type="dxa"/>
              <w:left w:w="120" w:type="dxa"/>
              <w:right w:w="120" w:type="dxa"/>
            </w:tcMar>
          </w:tcPr>
          <w:p>
            <w:r>
              <w:rPr>
                <w:rFonts w:ascii="Calibri" w:hAnsi="Calibri"/>
                <w:b/>
                <w:color w:val="262626"/>
                <w:sz w:val="19"/>
              </w:rPr>
              <w:t>Life-Threatening Case Share (Severity 0)</w:t>
            </w:r>
          </w:p>
        </w:tc>
        <w:tc>
          <w:tcPr>
            <w:tcW w:type="dxa" w:w="4680"/>
            <w:shd w:fill="FFFFFF"/>
            <w:tcMar>
              <w:top w:w="80" w:type="dxa"/>
              <w:bottom w:w="80" w:type="dxa"/>
              <w:left w:w="120" w:type="dxa"/>
              <w:right w:w="120" w:type="dxa"/>
            </w:tcMar>
          </w:tcPr>
          <w:p>
            <w:r>
              <w:rPr>
                <w:rFonts w:ascii="Calibri" w:hAnsi="Calibri"/>
                <w:color w:val="262626"/>
                <w:sz w:val="19"/>
              </w:rPr>
              <w:t>12.84%</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Moderate &amp; Non-Emergent Share (Severity 1 &amp; 2)</w:t>
            </w:r>
          </w:p>
        </w:tc>
        <w:tc>
          <w:tcPr>
            <w:tcW w:type="dxa" w:w="4680"/>
            <w:shd w:fill="F9FBFD"/>
            <w:tcMar>
              <w:top w:w="80" w:type="dxa"/>
              <w:bottom w:w="80" w:type="dxa"/>
              <w:left w:w="120" w:type="dxa"/>
              <w:right w:w="120" w:type="dxa"/>
            </w:tcMar>
          </w:tcPr>
          <w:p>
            <w:r>
              <w:rPr>
                <w:rFonts w:ascii="Calibri" w:hAnsi="Calibri"/>
                <w:color w:val="262626"/>
                <w:sz w:val="19"/>
              </w:rPr>
              <w:t>87.16%</w:t>
            </w:r>
          </w:p>
        </w:tc>
      </w:tr>
    </w:tbl>
    <w:p>
      <w:pPr>
        <w:keepNext/>
        <w:spacing w:before="240" w:after="80"/>
      </w:pPr>
      <w:r>
        <w:rPr>
          <w:rFonts w:ascii="Calibri" w:hAnsi="Calibri"/>
          <w:b/>
          <w:color w:val="2F5597"/>
          <w:sz w:val="28"/>
        </w:rPr>
        <w:t>4.2 Hospital Facility Mapping and Bed Capacity Integration</w:t>
      </w:r>
    </w:p>
    <w:p>
      <w:pPr>
        <w:spacing w:after="120" w:line="276" w:lineRule="auto"/>
      </w:pPr>
      <w:r>
        <w:rPr>
          <w:rFonts w:ascii="Calibri" w:hAnsi="Calibri"/>
          <w:color w:val="262626"/>
          <w:sz w:val="22"/>
        </w:rPr>
        <w:t>Receiving hospital facilities are queried from the official NYC Open Data hospital dataset. Twelve major acute-care hospital facilities spanning all five NYC boroughs are selected. Licensed bed capacities are attached by string fuzzy matching against the NYS Department of Health facility registry using token set ratios. Unmatched facilities are assigned documented capacity estimates scaled between 150 and 500 beds.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F4E79"/>
            <w:tcMar>
              <w:top w:w="100" w:type="dxa"/>
              <w:bottom w:w="100" w:type="dxa"/>
              <w:left w:w="120" w:type="dxa"/>
              <w:right w:w="120" w:type="dxa"/>
            </w:tcMar>
          </w:tcPr>
          <w:p>
            <w:pPr>
              <w:jc w:val="center"/>
            </w:pPr>
            <w:r>
              <w:rPr>
                <w:rFonts w:ascii="Calibri" w:hAnsi="Calibri"/>
                <w:b/>
                <w:color w:val="FFFFFF"/>
                <w:sz w:val="20"/>
              </w:rPr>
              <w:t>Facility Name</w:t>
            </w:r>
          </w:p>
        </w:tc>
        <w:tc>
          <w:tcPr>
            <w:tcW w:type="dxa" w:w="2340"/>
            <w:shd w:fill="1F4E79"/>
            <w:tcMar>
              <w:top w:w="100" w:type="dxa"/>
              <w:bottom w:w="100" w:type="dxa"/>
              <w:left w:w="120" w:type="dxa"/>
              <w:right w:w="120" w:type="dxa"/>
            </w:tcMar>
          </w:tcPr>
          <w:p>
            <w:pPr>
              <w:jc w:val="center"/>
            </w:pPr>
            <w:r>
              <w:rPr>
                <w:rFonts w:ascii="Calibri" w:hAnsi="Calibri"/>
                <w:b/>
                <w:color w:val="FFFFFF"/>
                <w:sz w:val="20"/>
              </w:rPr>
              <w:t>Borough</w:t>
            </w:r>
          </w:p>
        </w:tc>
        <w:tc>
          <w:tcPr>
            <w:tcW w:type="dxa" w:w="2340"/>
            <w:shd w:fill="1F4E79"/>
            <w:tcMar>
              <w:top w:w="100" w:type="dxa"/>
              <w:bottom w:w="100" w:type="dxa"/>
              <w:left w:w="120" w:type="dxa"/>
              <w:right w:w="120" w:type="dxa"/>
            </w:tcMar>
          </w:tcPr>
          <w:p>
            <w:pPr>
              <w:jc w:val="center"/>
            </w:pPr>
            <w:r>
              <w:rPr>
                <w:rFonts w:ascii="Calibri" w:hAnsi="Calibri"/>
                <w:b/>
                <w:color w:val="FFFFFF"/>
                <w:sz w:val="20"/>
              </w:rPr>
              <w:t>Licensed Capacity</w:t>
            </w:r>
          </w:p>
        </w:tc>
        <w:tc>
          <w:tcPr>
            <w:tcW w:type="dxa" w:w="2340"/>
            <w:shd w:fill="1F4E79"/>
            <w:tcMar>
              <w:top w:w="100" w:type="dxa"/>
              <w:bottom w:w="100" w:type="dxa"/>
              <w:left w:w="120" w:type="dxa"/>
              <w:right w:w="120" w:type="dxa"/>
            </w:tcMar>
          </w:tcPr>
          <w:p>
            <w:pPr>
              <w:jc w:val="center"/>
            </w:pPr>
            <w:r>
              <w:rPr>
                <w:rFonts w:ascii="Calibri" w:hAnsi="Calibri"/>
                <w:b/>
                <w:color w:val="FFFFFF"/>
                <w:sz w:val="20"/>
              </w:rPr>
              <w:t>Capacity Source</w:t>
            </w: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bl>
    <w:p>
      <w:pPr>
        <w:keepNext/>
        <w:spacing w:before="240" w:after="80"/>
      </w:pPr>
      <w:r>
        <w:rPr>
          <w:rFonts w:ascii="Calibri" w:hAnsi="Calibri"/>
          <w:b/>
          <w:color w:val="2F5597"/>
          <w:sz w:val="28"/>
        </w:rPr>
        <w:t>4.3 Road Network Distance Matrix</w:t>
      </w:r>
    </w:p>
    <w:p>
      <w:pPr>
        <w:spacing w:after="120" w:line="276" w:lineRule="auto"/>
      </w:pPr>
      <w:r>
        <w:rPr>
          <w:rFonts w:ascii="Calibri" w:hAnsi="Calibri"/>
          <w:color w:val="262626"/>
          <w:sz w:val="22"/>
        </w:rPr>
        <w:t>Incident origins are mapped to U.S. Census ZCTA spatial centroids. To model urban road routing accurately, pairwise travel distances between all demand ZIP centroids and receiving hospital coordinates are calculated using an urban road circuity matrix with a tortuosity factor of 1.35x applied to geodesic distances, reflecting Manhattan grid and arterial road routing geometries.</w:t>
      </w:r>
    </w:p>
    <w:p>
      <w:pPr>
        <w:keepNext/>
        <w:spacing w:before="240" w:after="80"/>
      </w:pPr>
      <w:r>
        <w:rPr>
          <w:rFonts w:ascii="Calibri" w:hAnsi="Calibri"/>
          <w:b/>
          <w:color w:val="2F5597"/>
          <w:sz w:val="28"/>
        </w:rPr>
        <w:t>4.4 Custom Gymnasium Environment Architecture</w:t>
      </w:r>
    </w:p>
    <w:p>
      <w:pPr>
        <w:spacing w:after="120" w:line="276" w:lineRule="auto"/>
      </w:pPr>
      <w:r>
        <w:rPr>
          <w:rFonts w:ascii="Calibri" w:hAnsi="Calibri"/>
          <w:color w:val="262626"/>
          <w:sz w:val="22"/>
        </w:rPr>
        <w:t>The custom environment `EmergencyAllocationEnv` implements the standardized OpenAI Gymnasium interface:</w:t>
      </w:r>
    </w:p>
    <w:p>
      <w:pPr>
        <w:spacing w:after="120" w:line="276" w:lineRule="auto"/>
      </w:pPr>
      <w:r>
        <w:rPr>
          <w:rFonts w:ascii="Calibri" w:hAnsi="Calibri"/>
          <w:b/>
          <w:color w:val="262626"/>
          <w:sz w:val="22"/>
        </w:rPr>
        <w:t xml:space="preserve">Observation Space: </w:t>
      </w:r>
      <w:r>
        <w:rPr>
          <w:rFonts w:ascii="Calibri" w:hAnsi="Calibri"/>
          <w:color w:val="262626"/>
          <w:sz w:val="22"/>
        </w:rPr>
        <w:t>• State Feature Vector (Size = N_zones + 5 + 2 * N_hospitals): Encodes one-hot demand zone, normalized severity code, cyclical hour (sin/cos), weekend indicator, hourly demand intensity, hospital occupancy fractions, and free capacity fractions.</w:t>
      </w:r>
    </w:p>
    <w:p>
      <w:pPr>
        <w:spacing w:after="120" w:line="276" w:lineRule="auto"/>
      </w:pPr>
      <w:r>
        <w:rPr>
          <w:rFonts w:ascii="Calibri" w:hAnsi="Calibri"/>
          <w:b/>
          <w:color w:val="262626"/>
          <w:sz w:val="22"/>
        </w:rPr>
        <w:t xml:space="preserve">Action Space: </w:t>
      </w:r>
      <w:r>
        <w:rPr>
          <w:rFonts w:ascii="Calibri" w:hAnsi="Calibri"/>
          <w:color w:val="262626"/>
          <w:sz w:val="22"/>
        </w:rPr>
        <w:t>• Action Space (Discrete N_hospitals): Discrete index selecting one of 12 receiving hospitals.</w:t>
      </w:r>
    </w:p>
    <w:p>
      <w:pPr>
        <w:spacing w:after="120" w:line="276" w:lineRule="auto"/>
      </w:pPr>
      <w:r>
        <w:rPr>
          <w:rFonts w:ascii="Calibri" w:hAnsi="Calibri"/>
          <w:b/>
          <w:color w:val="262626"/>
          <w:sz w:val="22"/>
        </w:rPr>
        <w:t xml:space="preserve">Queue Dynamics: </w:t>
      </w:r>
      <w:r>
        <w:rPr>
          <w:rFonts w:ascii="Calibri" w:hAnsi="Calibri"/>
          <w:color w:val="262626"/>
          <w:sz w:val="22"/>
        </w:rPr>
        <w:t>• Discharge Dynamics: At each decision step, active hospital queues progress by 1 step. Patients whose service duration expires are discharged, decrementing current bed occupancy.</w:t>
      </w:r>
    </w:p>
    <w:p>
      <w:pPr>
        <w:spacing w:after="120" w:line="276" w:lineRule="auto"/>
      </w:pPr>
      <w:r>
        <w:rPr>
          <w:rFonts w:ascii="Calibri" w:hAnsi="Calibri"/>
          <w:color w:val="262626"/>
          <w:sz w:val="22"/>
        </w:rPr>
        <w:t>• Reward Function Definition:</w:t>
      </w:r>
    </w:p>
    <w:p>
      <w:pPr>
        <w:spacing w:after="120" w:line="276" w:lineRule="auto"/>
      </w:pPr>
      <w:r>
        <w:rPr>
          <w:rFonts w:ascii="Calibri" w:hAnsi="Calibri"/>
          <w:color w:val="262626"/>
          <w:sz w:val="22"/>
        </w:rPr>
        <w:t>R_t = - alpha * (T_min / 10) - beta * (U_{h,t}^2) * mu_{stress} + S_t - gamma * O_t - eta * I(critical and U &gt; 0.85)</w:t>
      </w:r>
    </w:p>
    <w:p>
      <w:pPr>
        <w:spacing w:after="120" w:line="276" w:lineRule="auto"/>
      </w:pPr>
      <w:r>
        <w:rPr>
          <w:rFonts w:ascii="Calibri" w:hAnsi="Calibri"/>
          <w:color w:val="262626"/>
          <w:sz w:val="22"/>
        </w:rPr>
        <w:t>where alpha=1.0 (travel penalty), beta=4.0 (utilization quadratic penalty), gamma=30.0 (overload rejection penalty), success_bonus S_t=5.0, critical penalty eta=10.0, and stress multiplier mu_{stress} scales with resource stress levels.</w:t>
      </w:r>
    </w:p>
    <w:p>
      <w:pPr>
        <w:keepNext/>
        <w:spacing w:before="320" w:after="120"/>
      </w:pPr>
      <w:r>
        <w:rPr>
          <w:rFonts w:ascii="Calibri" w:hAnsi="Calibri"/>
          <w:b/>
          <w:color w:val="1F4E79"/>
          <w:sz w:val="36"/>
        </w:rPr>
        <w:t>5. Experimental Setup</w:t>
      </w:r>
    </w:p>
    <w:p>
      <w:pPr>
        <w:keepNext/>
        <w:spacing w:before="240" w:after="80"/>
      </w:pPr>
      <w:r>
        <w:rPr>
          <w:rFonts w:ascii="Calibri" w:hAnsi="Calibri"/>
          <w:b/>
          <w:color w:val="2F5597"/>
          <w:sz w:val="28"/>
        </w:rPr>
        <w:t>5.1 Training Hyperparameters</w:t>
      </w:r>
    </w:p>
    <w:p>
      <w:pPr>
        <w:spacing w:after="120" w:line="276" w:lineRule="auto"/>
      </w:pPr>
      <w:r>
        <w:rPr>
          <w:rFonts w:ascii="Calibri" w:hAnsi="Calibri"/>
          <w:color w:val="262626"/>
          <w:sz w:val="22"/>
        </w:rPr>
        <w:t>The DQN agent is trained using Stable-Baselines3 on 50,000 environment timesteps. Hyperparameters are detailed in Table 3:</w:t>
      </w:r>
    </w:p>
    <w:tbl>
      <w:tblPr>
        <w:tblW w:type="auto" w:w="0"/>
        <w:jc w:val="center"/>
        <w:tblLook w:firstColumn="1" w:firstRow="1" w:lastColumn="0" w:lastRow="0" w:noHBand="0" w:noVBand="1" w:val="04A0"/>
      </w:tblPr>
      <w:tblGrid>
        <w:gridCol w:w="4680"/>
        <w:gridCol w:w="4680"/>
      </w:tblGrid>
      <w:tr>
        <w:trPr>
          <w:cantSplit/>
          <w:tblHeader/>
        </w:trPr>
        <w:tc>
          <w:tcPr>
            <w:tcW w:type="dxa" w:w="4680"/>
            <w:shd w:fill="1F4E79"/>
            <w:tcMar>
              <w:top w:w="100" w:type="dxa"/>
              <w:bottom w:w="100" w:type="dxa"/>
              <w:left w:w="120" w:type="dxa"/>
              <w:right w:w="120" w:type="dxa"/>
            </w:tcMar>
          </w:tcPr>
          <w:p>
            <w:pPr>
              <w:jc w:val="center"/>
            </w:pPr>
            <w:r>
              <w:rPr>
                <w:rFonts w:ascii="Calibri" w:hAnsi="Calibri"/>
                <w:b/>
                <w:color w:val="FFFFFF"/>
                <w:sz w:val="20"/>
              </w:rPr>
              <w:t>Neural Network Policy Architecture</w:t>
            </w:r>
          </w:p>
        </w:tc>
        <w:tc>
          <w:tcPr>
            <w:tcW w:type="dxa" w:w="4680"/>
            <w:shd w:fill="1F4E79"/>
            <w:tcMar>
              <w:top w:w="100" w:type="dxa"/>
              <w:bottom w:w="100" w:type="dxa"/>
              <w:left w:w="120" w:type="dxa"/>
              <w:right w:w="120" w:type="dxa"/>
            </w:tcMar>
          </w:tcPr>
          <w:p>
            <w:pPr>
              <w:jc w:val="center"/>
            </w:pPr>
            <w:r>
              <w:rPr>
                <w:rFonts w:ascii="Calibri" w:hAnsi="Calibri"/>
                <w:b/>
                <w:color w:val="FFFFFF"/>
                <w:sz w:val="20"/>
              </w:rPr>
              <w:t>Multi-Layer Perceptron (2 Layers x 256 Units, ReLU)</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Optimizer &amp; Learning Rate</w:t>
            </w:r>
          </w:p>
        </w:tc>
        <w:tc>
          <w:tcPr>
            <w:tcW w:type="dxa" w:w="4680"/>
            <w:shd w:fill="F9FBFD"/>
            <w:tcMar>
              <w:top w:w="80" w:type="dxa"/>
              <w:bottom w:w="80" w:type="dxa"/>
              <w:left w:w="120" w:type="dxa"/>
              <w:right w:w="120" w:type="dxa"/>
            </w:tcMar>
          </w:tcPr>
          <w:p>
            <w:r>
              <w:rPr>
                <w:rFonts w:ascii="Calibri" w:hAnsi="Calibri"/>
                <w:color w:val="262626"/>
                <w:sz w:val="19"/>
              </w:rPr>
              <w:t>Adam Optimizer (lr = 1e-4)</w:t>
            </w:r>
          </w:p>
        </w:tc>
      </w:tr>
      <w:tr>
        <w:trPr>
          <w:cantSplit/>
        </w:trPr>
        <w:tc>
          <w:tcPr>
            <w:tcW w:type="dxa" w:w="4680"/>
            <w:shd w:fill="FFFFFF"/>
            <w:tcMar>
              <w:top w:w="80" w:type="dxa"/>
              <w:bottom w:w="80" w:type="dxa"/>
              <w:left w:w="120" w:type="dxa"/>
              <w:right w:w="120" w:type="dxa"/>
            </w:tcMar>
          </w:tcPr>
          <w:p>
            <w:r>
              <w:rPr>
                <w:rFonts w:ascii="Calibri" w:hAnsi="Calibri"/>
                <w:b/>
                <w:color w:val="262626"/>
                <w:sz w:val="19"/>
              </w:rPr>
              <w:t>Discount Factor (gamma)</w:t>
            </w:r>
          </w:p>
        </w:tc>
        <w:tc>
          <w:tcPr>
            <w:tcW w:type="dxa" w:w="4680"/>
            <w:shd w:fill="FFFFFF"/>
            <w:tcMar>
              <w:top w:w="80" w:type="dxa"/>
              <w:bottom w:w="80" w:type="dxa"/>
              <w:left w:w="120" w:type="dxa"/>
              <w:right w:w="120" w:type="dxa"/>
            </w:tcMar>
          </w:tcPr>
          <w:p>
            <w:r>
              <w:rPr>
                <w:rFonts w:ascii="Calibri" w:hAnsi="Calibri"/>
                <w:color w:val="262626"/>
                <w:sz w:val="19"/>
              </w:rPr>
              <w:t>0.98</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Replay Buffer Size</w:t>
            </w:r>
          </w:p>
        </w:tc>
        <w:tc>
          <w:tcPr>
            <w:tcW w:type="dxa" w:w="4680"/>
            <w:shd w:fill="F9FBFD"/>
            <w:tcMar>
              <w:top w:w="80" w:type="dxa"/>
              <w:bottom w:w="80" w:type="dxa"/>
              <w:left w:w="120" w:type="dxa"/>
              <w:right w:w="120" w:type="dxa"/>
            </w:tcMar>
          </w:tcPr>
          <w:p>
            <w:r>
              <w:rPr>
                <w:rFonts w:ascii="Calibri" w:hAnsi="Calibri"/>
                <w:color w:val="262626"/>
                <w:sz w:val="19"/>
              </w:rPr>
              <w:t>50,000 Transitions</w:t>
            </w:r>
          </w:p>
        </w:tc>
      </w:tr>
      <w:tr>
        <w:trPr>
          <w:cantSplit/>
        </w:trPr>
        <w:tc>
          <w:tcPr>
            <w:tcW w:type="dxa" w:w="4680"/>
            <w:shd w:fill="FFFFFF"/>
            <w:tcMar>
              <w:top w:w="80" w:type="dxa"/>
              <w:bottom w:w="80" w:type="dxa"/>
              <w:left w:w="120" w:type="dxa"/>
              <w:right w:w="120" w:type="dxa"/>
            </w:tcMar>
          </w:tcPr>
          <w:p>
            <w:r>
              <w:rPr>
                <w:rFonts w:ascii="Calibri" w:hAnsi="Calibri"/>
                <w:b/>
                <w:color w:val="262626"/>
                <w:sz w:val="19"/>
              </w:rPr>
              <w:t>Batch Size</w:t>
            </w:r>
          </w:p>
        </w:tc>
        <w:tc>
          <w:tcPr>
            <w:tcW w:type="dxa" w:w="4680"/>
            <w:shd w:fill="FFFFFF"/>
            <w:tcMar>
              <w:top w:w="80" w:type="dxa"/>
              <w:bottom w:w="80" w:type="dxa"/>
              <w:left w:w="120" w:type="dxa"/>
              <w:right w:w="120" w:type="dxa"/>
            </w:tcMar>
          </w:tcPr>
          <w:p>
            <w:r>
              <w:rPr>
                <w:rFonts w:ascii="Calibri" w:hAnsi="Calibri"/>
                <w:color w:val="262626"/>
                <w:sz w:val="19"/>
              </w:rPr>
              <w:t>64</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Target Network Update Interval</w:t>
            </w:r>
          </w:p>
        </w:tc>
        <w:tc>
          <w:tcPr>
            <w:tcW w:type="dxa" w:w="4680"/>
            <w:shd w:fill="F9FBFD"/>
            <w:tcMar>
              <w:top w:w="80" w:type="dxa"/>
              <w:bottom w:w="80" w:type="dxa"/>
              <w:left w:w="120" w:type="dxa"/>
              <w:right w:w="120" w:type="dxa"/>
            </w:tcMar>
          </w:tcPr>
          <w:p>
            <w:r>
              <w:rPr>
                <w:rFonts w:ascii="Calibri" w:hAnsi="Calibri"/>
                <w:color w:val="262626"/>
                <w:sz w:val="19"/>
              </w:rPr>
              <w:t>2,000 Timesteps</w:t>
            </w:r>
          </w:p>
        </w:tc>
      </w:tr>
      <w:tr>
        <w:trPr>
          <w:cantSplit/>
        </w:trPr>
        <w:tc>
          <w:tcPr>
            <w:tcW w:type="dxa" w:w="4680"/>
            <w:shd w:fill="FFFFFF"/>
            <w:tcMar>
              <w:top w:w="80" w:type="dxa"/>
              <w:bottom w:w="80" w:type="dxa"/>
              <w:left w:w="120" w:type="dxa"/>
              <w:right w:w="120" w:type="dxa"/>
            </w:tcMar>
          </w:tcPr>
          <w:p>
            <w:r>
              <w:rPr>
                <w:rFonts w:ascii="Calibri" w:hAnsi="Calibri"/>
                <w:b/>
                <w:color w:val="262626"/>
                <w:sz w:val="19"/>
              </w:rPr>
              <w:t>Exploration Schedule (epsilon)</w:t>
            </w:r>
          </w:p>
        </w:tc>
        <w:tc>
          <w:tcPr>
            <w:tcW w:type="dxa" w:w="4680"/>
            <w:shd w:fill="FFFFFF"/>
            <w:tcMar>
              <w:top w:w="80" w:type="dxa"/>
              <w:bottom w:w="80" w:type="dxa"/>
              <w:left w:w="120" w:type="dxa"/>
              <w:right w:w="120" w:type="dxa"/>
            </w:tcMar>
          </w:tcPr>
          <w:p>
            <w:r>
              <w:rPr>
                <w:rFonts w:ascii="Calibri" w:hAnsi="Calibri"/>
                <w:color w:val="262626"/>
                <w:sz w:val="19"/>
              </w:rPr>
              <w:t>Linear Decay from 1.0 to 0.05 over 25% Training</w:t>
            </w:r>
          </w:p>
        </w:tc>
      </w:tr>
      <w:tr>
        <w:trPr>
          <w:cantSplit/>
        </w:trPr>
        <w:tc>
          <w:tcPr>
            <w:tcW w:type="dxa" w:w="4680"/>
            <w:shd w:fill="F9FBFD"/>
            <w:tcMar>
              <w:top w:w="80" w:type="dxa"/>
              <w:bottom w:w="80" w:type="dxa"/>
              <w:left w:w="120" w:type="dxa"/>
              <w:right w:w="120" w:type="dxa"/>
            </w:tcMar>
          </w:tcPr>
          <w:p>
            <w:r>
              <w:rPr>
                <w:rFonts w:ascii="Calibri" w:hAnsi="Calibri"/>
                <w:b/>
                <w:color w:val="262626"/>
                <w:sz w:val="19"/>
              </w:rPr>
              <w:t>Total Training Timesteps</w:t>
            </w:r>
          </w:p>
        </w:tc>
        <w:tc>
          <w:tcPr>
            <w:tcW w:type="dxa" w:w="4680"/>
            <w:shd w:fill="F9FBFD"/>
            <w:tcMar>
              <w:top w:w="80" w:type="dxa"/>
              <w:bottom w:w="80" w:type="dxa"/>
              <w:left w:w="120" w:type="dxa"/>
              <w:right w:w="120" w:type="dxa"/>
            </w:tcMar>
          </w:tcPr>
          <w:p>
            <w:r>
              <w:rPr>
                <w:rFonts w:ascii="Calibri" w:hAnsi="Calibri"/>
                <w:color w:val="262626"/>
                <w:sz w:val="19"/>
              </w:rPr>
              <w:t>50,000 Timesteps</w:t>
            </w:r>
          </w:p>
        </w:tc>
      </w:tr>
      <w:tr>
        <w:trPr>
          <w:cantSplit/>
        </w:trPr>
        <w:tc>
          <w:tcPr>
            <w:tcW w:type="dxa" w:w="4680"/>
            <w:shd w:fill="FFFFFF"/>
            <w:tcMar>
              <w:top w:w="80" w:type="dxa"/>
              <w:bottom w:w="80" w:type="dxa"/>
              <w:left w:w="120" w:type="dxa"/>
              <w:right w:w="120" w:type="dxa"/>
            </w:tcMar>
          </w:tcPr>
          <w:p/>
        </w:tc>
        <w:tc>
          <w:tcPr>
            <w:tcW w:type="dxa" w:w="4680"/>
            <w:shd w:fill="FFFFFF"/>
            <w:tcMar>
              <w:top w:w="80" w:type="dxa"/>
              <w:bottom w:w="80" w:type="dxa"/>
              <w:left w:w="120" w:type="dxa"/>
              <w:right w:w="120" w:type="dxa"/>
            </w:tcMar>
          </w:tcPr>
          <w:p/>
        </w:tc>
      </w:tr>
    </w:tbl>
    <w:p>
      <w:pPr>
        <w:keepNext/>
        <w:spacing w:before="240" w:after="80"/>
      </w:pPr>
      <w:r>
        <w:rPr>
          <w:rFonts w:ascii="Calibri" w:hAnsi="Calibri"/>
          <w:b/>
          <w:color w:val="2F5597"/>
          <w:sz w:val="28"/>
        </w:rPr>
        <w:t>5.2 Stress Testing &amp; Robustness Scenarios</w:t>
      </w:r>
    </w:p>
    <w:p>
      <w:pPr>
        <w:spacing w:after="120" w:line="276" w:lineRule="auto"/>
      </w:pPr>
      <w:r>
        <w:rPr>
          <w:rFonts w:ascii="Calibri" w:hAnsi="Calibri"/>
          <w:color w:val="262626"/>
          <w:sz w:val="22"/>
        </w:rPr>
        <w:t>To test policy resilience under adverse operational conditions, four distinct resource stress scenarios are evaluated:</w:t>
      </w:r>
    </w:p>
    <w:p>
      <w:pPr>
        <w:spacing w:after="120" w:line="276" w:lineRule="auto"/>
      </w:pPr>
      <w:r>
        <w:rPr>
          <w:rFonts w:ascii="Calibri" w:hAnsi="Calibri"/>
          <w:b/>
          <w:color w:val="262626"/>
          <w:sz w:val="22"/>
        </w:rPr>
        <w:t xml:space="preserve">Normal: </w:t>
      </w:r>
      <w:r>
        <w:rPr>
          <w:rFonts w:ascii="Calibri" w:hAnsi="Calibri"/>
          <w:color w:val="262626"/>
          <w:sz w:val="22"/>
        </w:rPr>
        <w:t>1. Normal Operating Scenario: Initial hospital occupancy initialized uniformly between 25% and 55%.</w:t>
      </w:r>
    </w:p>
    <w:p>
      <w:pPr>
        <w:spacing w:after="120" w:line="276" w:lineRule="auto"/>
      </w:pPr>
      <w:r>
        <w:rPr>
          <w:rFonts w:ascii="Calibri" w:hAnsi="Calibri"/>
          <w:b/>
          <w:color w:val="262626"/>
          <w:sz w:val="22"/>
        </w:rPr>
        <w:t xml:space="preserve">High Congestion: </w:t>
      </w:r>
      <w:r>
        <w:rPr>
          <w:rFonts w:ascii="Calibri" w:hAnsi="Calibri"/>
          <w:color w:val="262626"/>
          <w:sz w:val="22"/>
        </w:rPr>
        <w:t>2. High Congestion Scenario: Initial hospital occupancy initialized between 55% and 85%.</w:t>
      </w:r>
    </w:p>
    <w:p>
      <w:pPr>
        <w:spacing w:after="120" w:line="276" w:lineRule="auto"/>
      </w:pPr>
      <w:r>
        <w:rPr>
          <w:rFonts w:ascii="Calibri" w:hAnsi="Calibri"/>
          <w:b/>
          <w:color w:val="262626"/>
          <w:sz w:val="22"/>
        </w:rPr>
        <w:t xml:space="preserve">Critical Shortage: </w:t>
      </w:r>
      <w:r>
        <w:rPr>
          <w:rFonts w:ascii="Calibri" w:hAnsi="Calibri"/>
          <w:color w:val="262626"/>
          <w:sz w:val="22"/>
        </w:rPr>
        <w:t>3. Critical Shortage Scenario: Initial hospital occupancy initialized between 75% and 95%.</w:t>
      </w:r>
    </w:p>
    <w:p>
      <w:pPr>
        <w:spacing w:after="120" w:line="276" w:lineRule="auto"/>
      </w:pPr>
      <w:r>
        <w:rPr>
          <w:rFonts w:ascii="Calibri" w:hAnsi="Calibri"/>
          <w:b/>
          <w:color w:val="262626"/>
          <w:sz w:val="22"/>
        </w:rPr>
        <w:t xml:space="preserve">Demand Surge: </w:t>
      </w:r>
      <w:r>
        <w:rPr>
          <w:rFonts w:ascii="Calibri" w:hAnsi="Calibri"/>
          <w:color w:val="262626"/>
          <w:sz w:val="22"/>
        </w:rPr>
        <w:t>4. Demand Surge Scenario: Initial load between 45% and 80% with a 1.75x penalty multiplier on capacity pressure.</w:t>
      </w:r>
    </w:p>
    <w:p>
      <w:pPr>
        <w:keepNext/>
        <w:spacing w:before="320" w:after="120"/>
      </w:pPr>
      <w:r>
        <w:rPr>
          <w:rFonts w:ascii="Calibri" w:hAnsi="Calibri"/>
          <w:b/>
          <w:color w:val="1F4E79"/>
          <w:sz w:val="36"/>
        </w:rPr>
        <w:t>6. Results and Analysis</w:t>
      </w:r>
    </w:p>
    <w:p>
      <w:pPr>
        <w:keepNext/>
        <w:spacing w:before="240" w:after="80"/>
      </w:pPr>
      <w:r>
        <w:rPr>
          <w:rFonts w:ascii="Calibri" w:hAnsi="Calibri"/>
          <w:b/>
          <w:color w:val="2F5597"/>
          <w:sz w:val="28"/>
        </w:rPr>
        <w:t>6.1 Normal Scenario Policy Performance</w:t>
      </w:r>
    </w:p>
    <w:p>
      <w:pPr>
        <w:spacing w:after="120" w:line="276" w:lineRule="auto"/>
      </w:pPr>
      <w:r>
        <w:rPr>
          <w:rFonts w:ascii="Calibri" w:hAnsi="Calibri"/>
          <w:color w:val="262626"/>
          <w:sz w:val="22"/>
        </w:rPr>
        <w:t>Table 4 presents the empirical performance of all five policies evaluated over 80 test episodes in the Normal operating scenario:</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F4E79"/>
            <w:tcMar>
              <w:top w:w="100" w:type="dxa"/>
              <w:bottom w:w="100" w:type="dxa"/>
              <w:left w:w="120" w:type="dxa"/>
              <w:right w:w="120" w:type="dxa"/>
            </w:tcMar>
          </w:tcPr>
          <w:p>
            <w:pPr>
              <w:jc w:val="center"/>
            </w:pPr>
            <w:r>
              <w:rPr>
                <w:rFonts w:ascii="Calibri" w:hAnsi="Calibri"/>
                <w:b/>
                <w:color w:val="FFFFFF"/>
                <w:sz w:val="20"/>
              </w:rPr>
              <w:t>Policy</w:t>
            </w:r>
          </w:p>
        </w:tc>
        <w:tc>
          <w:tcPr>
            <w:tcW w:type="dxa" w:w="1560"/>
            <w:shd w:fill="1F4E79"/>
            <w:tcMar>
              <w:top w:w="100" w:type="dxa"/>
              <w:bottom w:w="100" w:type="dxa"/>
              <w:left w:w="120" w:type="dxa"/>
              <w:right w:w="120" w:type="dxa"/>
            </w:tcMar>
          </w:tcPr>
          <w:p>
            <w:pPr>
              <w:jc w:val="center"/>
            </w:pPr>
            <w:r>
              <w:rPr>
                <w:rFonts w:ascii="Calibri" w:hAnsi="Calibri"/>
                <w:b/>
                <w:color w:val="FFFFFF"/>
                <w:sz w:val="20"/>
              </w:rPr>
              <w:t>Mean Reward</w:t>
            </w:r>
          </w:p>
        </w:tc>
        <w:tc>
          <w:tcPr>
            <w:tcW w:type="dxa" w:w="1560"/>
            <w:shd w:fill="1F4E79"/>
            <w:tcMar>
              <w:top w:w="100" w:type="dxa"/>
              <w:bottom w:w="100" w:type="dxa"/>
              <w:left w:w="120" w:type="dxa"/>
              <w:right w:w="120" w:type="dxa"/>
            </w:tcMar>
          </w:tcPr>
          <w:p>
            <w:pPr>
              <w:jc w:val="center"/>
            </w:pPr>
            <w:r>
              <w:rPr>
                <w:rFonts w:ascii="Calibri" w:hAnsi="Calibri"/>
                <w:b/>
                <w:color w:val="FFFFFF"/>
                <w:sz w:val="20"/>
              </w:rPr>
              <w:t>Mean Travel (min)</w:t>
            </w:r>
          </w:p>
        </w:tc>
        <w:tc>
          <w:tcPr>
            <w:tcW w:type="dxa" w:w="1560"/>
            <w:shd w:fill="1F4E79"/>
            <w:tcMar>
              <w:top w:w="100" w:type="dxa"/>
              <w:bottom w:w="100" w:type="dxa"/>
              <w:left w:w="120" w:type="dxa"/>
              <w:right w:w="120" w:type="dxa"/>
            </w:tcMar>
          </w:tcPr>
          <w:p>
            <w:pPr>
              <w:jc w:val="center"/>
            </w:pPr>
            <w:r>
              <w:rPr>
                <w:rFonts w:ascii="Calibri" w:hAnsi="Calibri"/>
                <w:b/>
                <w:color w:val="FFFFFF"/>
                <w:sz w:val="20"/>
              </w:rPr>
              <w:t>Overload Rate</w:t>
            </w:r>
          </w:p>
        </w:tc>
        <w:tc>
          <w:tcPr>
            <w:tcW w:type="dxa" w:w="1560"/>
            <w:shd w:fill="1F4E79"/>
            <w:tcMar>
              <w:top w:w="100" w:type="dxa"/>
              <w:bottom w:w="100" w:type="dxa"/>
              <w:left w:w="120" w:type="dxa"/>
              <w:right w:w="120" w:type="dxa"/>
            </w:tcMar>
          </w:tcPr>
          <w:p>
            <w:pPr>
              <w:jc w:val="center"/>
            </w:pPr>
            <w:r>
              <w:rPr>
                <w:rFonts w:ascii="Calibri" w:hAnsi="Calibri"/>
                <w:b/>
                <w:color w:val="FFFFFF"/>
                <w:sz w:val="20"/>
              </w:rPr>
              <w:t>Success Rate</w:t>
            </w:r>
          </w:p>
        </w:tc>
        <w:tc>
          <w:tcPr>
            <w:tcW w:type="dxa" w:w="1560"/>
            <w:shd w:fill="1F4E79"/>
            <w:tcMar>
              <w:top w:w="100" w:type="dxa"/>
              <w:bottom w:w="100" w:type="dxa"/>
              <w:left w:w="120" w:type="dxa"/>
              <w:right w:w="120" w:type="dxa"/>
            </w:tcMar>
          </w:tcPr>
          <w:p>
            <w:pPr>
              <w:jc w:val="center"/>
            </w:pPr>
            <w:r>
              <w:rPr>
                <w:rFonts w:ascii="Calibri" w:hAnsi="Calibri"/>
                <w:b/>
                <w:color w:val="FFFFFF"/>
                <w:sz w:val="20"/>
              </w:rPr>
              <w:t>Mean Utilization</w:t>
            </w:r>
          </w:p>
        </w:tc>
      </w:tr>
      <w:tr>
        <w:trPr>
          <w:cantSplit/>
        </w:trPr>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r>
      <w:tr>
        <w:trPr>
          <w:cantSplit/>
        </w:trPr>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r>
      <w:tr>
        <w:trPr>
          <w:cantSplit/>
        </w:trPr>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r>
      <w:tr>
        <w:trPr>
          <w:cantSplit/>
        </w:trPr>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c>
          <w:tcPr>
            <w:tcW w:type="dxa" w:w="1560"/>
            <w:shd w:fill="FFFFFF"/>
            <w:tcMar>
              <w:top w:w="80" w:type="dxa"/>
              <w:bottom w:w="80" w:type="dxa"/>
              <w:left w:w="120" w:type="dxa"/>
              <w:right w:w="120" w:type="dxa"/>
            </w:tcMar>
          </w:tcPr>
          <w:p/>
        </w:tc>
      </w:tr>
      <w:tr>
        <w:trPr>
          <w:cantSplit/>
        </w:trPr>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c>
          <w:tcPr>
            <w:tcW w:type="dxa" w:w="1560"/>
            <w:shd w:fill="F9FBFD"/>
            <w:tcMar>
              <w:top w:w="80" w:type="dxa"/>
              <w:bottom w:w="80" w:type="dxa"/>
              <w:left w:w="120" w:type="dxa"/>
              <w:right w:w="120" w:type="dxa"/>
            </w:tcMar>
          </w:tcPr>
          <w:p/>
        </w:tc>
      </w:tr>
    </w:tbl>
    <w:p>
      <w:pPr>
        <w:spacing w:before="160" w:after="40"/>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policy_comparison_reward.png"/>
                    <pic:cNvPicPr/>
                  </pic:nvPicPr>
                  <pic:blipFill>
                    <a:blip r:embed="rId9"/>
                    <a:stretch>
                      <a:fillRect/>
                    </a:stretch>
                  </pic:blipFill>
                  <pic:spPr>
                    <a:xfrm>
                      <a:off x="0" y="0"/>
                      <a:ext cx="5303520" cy="2946400"/>
                    </a:xfrm>
                    <a:prstGeom prst="rect"/>
                  </pic:spPr>
                </pic:pic>
              </a:graphicData>
            </a:graphic>
          </wp:inline>
        </w:drawing>
      </w:r>
    </w:p>
    <w:p>
      <w:pPr>
        <w:spacing w:after="200"/>
        <w:jc w:val="center"/>
      </w:pPr>
      <w:r>
        <w:rPr>
          <w:rFonts w:ascii="Calibri" w:hAnsi="Calibri"/>
          <w:i/>
          <w:color w:val="595959"/>
          <w:sz w:val="19"/>
        </w:rPr>
        <w:t>Figure: Normal Operating Scenario — Mean Policy Reward</w:t>
      </w:r>
    </w:p>
    <w:p>
      <w:pPr>
        <w:spacing w:before="160" w:after="4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policy_comparison_travel_time.png"/>
                    <pic:cNvPicPr/>
                  </pic:nvPicPr>
                  <pic:blipFill>
                    <a:blip r:embed="rId10"/>
                    <a:stretch>
                      <a:fillRect/>
                    </a:stretch>
                  </pic:blipFill>
                  <pic:spPr>
                    <a:xfrm>
                      <a:off x="0" y="0"/>
                      <a:ext cx="5303520" cy="2946400"/>
                    </a:xfrm>
                    <a:prstGeom prst="rect"/>
                  </pic:spPr>
                </pic:pic>
              </a:graphicData>
            </a:graphic>
          </wp:inline>
        </w:drawing>
      </w:r>
    </w:p>
    <w:p>
      <w:pPr>
        <w:spacing w:after="200"/>
        <w:jc w:val="center"/>
      </w:pPr>
      <w:r>
        <w:rPr>
          <w:rFonts w:ascii="Calibri" w:hAnsi="Calibri"/>
          <w:i/>
          <w:color w:val="595959"/>
          <w:sz w:val="19"/>
        </w:rPr>
        <w:t>Figure: Normal Operating Scenario — Average Pre-Hospital Travel Time (Minutes)</w:t>
      </w:r>
    </w:p>
    <w:p>
      <w:pPr>
        <w:keepNext/>
        <w:spacing w:before="240" w:after="80"/>
      </w:pPr>
      <w:r>
        <w:rPr>
          <w:rFonts w:ascii="Calibri" w:hAnsi="Calibri"/>
          <w:b/>
          <w:color w:val="2F5597"/>
          <w:sz w:val="28"/>
        </w:rPr>
        <w:t>6.2 Robustness Across Resource Stress Scenarios</w:t>
      </w:r>
    </w:p>
    <w:p>
      <w:pPr>
        <w:spacing w:after="120" w:line="276" w:lineRule="auto"/>
      </w:pPr>
      <w:r>
        <w:rPr>
          <w:rFonts w:ascii="Calibri" w:hAnsi="Calibri"/>
          <w:color w:val="262626"/>
          <w:sz w:val="22"/>
        </w:rPr>
        <w:t>Table 5 and Figure 3 illustrate policy rewards across all four resource stress scenarios:</w:t>
      </w:r>
    </w:p>
    <w:p>
      <w:pPr>
        <w:spacing w:before="160" w:after="4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stress_test_heatmap.png"/>
                    <pic:cNvPicPr/>
                  </pic:nvPicPr>
                  <pic:blipFill>
                    <a:blip r:embed="rId11"/>
                    <a:stretch>
                      <a:fillRect/>
                    </a:stretch>
                  </pic:blipFill>
                  <pic:spPr>
                    <a:xfrm>
                      <a:off x="0" y="0"/>
                      <a:ext cx="5303520" cy="2651760"/>
                    </a:xfrm>
                    <a:prstGeom prst="rect"/>
                  </pic:spPr>
                </pic:pic>
              </a:graphicData>
            </a:graphic>
          </wp:inline>
        </w:drawing>
      </w:r>
    </w:p>
    <w:p>
      <w:pPr>
        <w:spacing w:after="200"/>
        <w:jc w:val="center"/>
      </w:pPr>
      <w:r>
        <w:rPr>
          <w:rFonts w:ascii="Calibri" w:hAnsi="Calibri"/>
          <w:i/>
          <w:color w:val="595959"/>
          <w:sz w:val="19"/>
        </w:rPr>
        <w:t>Figure: Policy Robustness Heatmap across Resource-Stress Scenarios</w:t>
      </w:r>
    </w:p>
    <w:p>
      <w:pPr>
        <w:keepNext/>
        <w:spacing w:before="240" w:after="80"/>
      </w:pPr>
      <w:r>
        <w:rPr>
          <w:rFonts w:ascii="Calibri" w:hAnsi="Calibri"/>
          <w:b/>
          <w:color w:val="2F5597"/>
          <w:sz w:val="28"/>
        </w:rPr>
        <w:t>6.3 Multi-Seed Statistical Robustness</w:t>
      </w:r>
    </w:p>
    <w:p>
      <w:pPr>
        <w:spacing w:after="120" w:line="276" w:lineRule="auto"/>
      </w:pPr>
      <w:r>
        <w:rPr>
          <w:rFonts w:ascii="Calibri" w:hAnsi="Calibri"/>
          <w:color w:val="262626"/>
          <w:sz w:val="22"/>
        </w:rPr>
        <w:t>To verify statistical stability, all policies were evaluated across 5 random seeds (42, 7, 21, 99, 123) in the High Congestion scenario:</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F4E79"/>
            <w:tcMar>
              <w:top w:w="100" w:type="dxa"/>
              <w:bottom w:w="100" w:type="dxa"/>
              <w:left w:w="120" w:type="dxa"/>
              <w:right w:w="120" w:type="dxa"/>
            </w:tcMar>
          </w:tcPr>
          <w:p>
            <w:pPr>
              <w:jc w:val="center"/>
            </w:pPr>
            <w:r>
              <w:rPr>
                <w:rFonts w:ascii="Calibri" w:hAnsi="Calibri"/>
                <w:b/>
                <w:color w:val="FFFFFF"/>
                <w:sz w:val="20"/>
              </w:rPr>
              <w:t>Policy</w:t>
            </w:r>
          </w:p>
        </w:tc>
        <w:tc>
          <w:tcPr>
            <w:tcW w:type="dxa" w:w="1872"/>
            <w:shd w:fill="1F4E79"/>
            <w:tcMar>
              <w:top w:w="100" w:type="dxa"/>
              <w:bottom w:w="100" w:type="dxa"/>
              <w:left w:w="120" w:type="dxa"/>
              <w:right w:w="120" w:type="dxa"/>
            </w:tcMar>
          </w:tcPr>
          <w:p>
            <w:pPr>
              <w:jc w:val="center"/>
            </w:pPr>
            <w:r>
              <w:rPr>
                <w:rFonts w:ascii="Calibri" w:hAnsi="Calibri"/>
                <w:b/>
                <w:color w:val="FFFFFF"/>
                <w:sz w:val="20"/>
              </w:rPr>
              <w:t>Reward Mean</w:t>
            </w:r>
          </w:p>
        </w:tc>
        <w:tc>
          <w:tcPr>
            <w:tcW w:type="dxa" w:w="1872"/>
            <w:shd w:fill="1F4E79"/>
            <w:tcMar>
              <w:top w:w="100" w:type="dxa"/>
              <w:bottom w:w="100" w:type="dxa"/>
              <w:left w:w="120" w:type="dxa"/>
              <w:right w:w="120" w:type="dxa"/>
            </w:tcMar>
          </w:tcPr>
          <w:p>
            <w:pPr>
              <w:jc w:val="center"/>
            </w:pPr>
            <w:r>
              <w:rPr>
                <w:rFonts w:ascii="Calibri" w:hAnsi="Calibri"/>
                <w:b/>
                <w:color w:val="FFFFFF"/>
                <w:sz w:val="20"/>
              </w:rPr>
              <w:t>Reward Std Dev</w:t>
            </w:r>
          </w:p>
        </w:tc>
        <w:tc>
          <w:tcPr>
            <w:tcW w:type="dxa" w:w="1872"/>
            <w:shd w:fill="1F4E79"/>
            <w:tcMar>
              <w:top w:w="100" w:type="dxa"/>
              <w:bottom w:w="100" w:type="dxa"/>
              <w:left w:w="120" w:type="dxa"/>
              <w:right w:w="120" w:type="dxa"/>
            </w:tcMar>
          </w:tcPr>
          <w:p>
            <w:pPr>
              <w:jc w:val="center"/>
            </w:pPr>
            <w:r>
              <w:rPr>
                <w:rFonts w:ascii="Calibri" w:hAnsi="Calibri"/>
                <w:b/>
                <w:color w:val="FFFFFF"/>
                <w:sz w:val="20"/>
              </w:rPr>
              <w:t>Travel Mean (min)</w:t>
            </w:r>
          </w:p>
        </w:tc>
        <w:tc>
          <w:tcPr>
            <w:tcW w:type="dxa" w:w="1872"/>
            <w:shd w:fill="1F4E79"/>
            <w:tcMar>
              <w:top w:w="100" w:type="dxa"/>
              <w:bottom w:w="100" w:type="dxa"/>
              <w:left w:w="120" w:type="dxa"/>
              <w:right w:w="120" w:type="dxa"/>
            </w:tcMar>
          </w:tcPr>
          <w:p>
            <w:pPr>
              <w:jc w:val="center"/>
            </w:pPr>
            <w:r>
              <w:rPr>
                <w:rFonts w:ascii="Calibri" w:hAnsi="Calibri"/>
                <w:b/>
                <w:color w:val="FFFFFF"/>
                <w:sz w:val="20"/>
              </w:rPr>
              <w:t>Travel Std Dev</w:t>
            </w:r>
          </w:p>
        </w:tc>
      </w:tr>
      <w:tr>
        <w:trPr>
          <w:cantSplit/>
        </w:trPr>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r>
      <w:tr>
        <w:trPr>
          <w:cantSplit/>
        </w:trPr>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r>
      <w:tr>
        <w:trPr>
          <w:cantSplit/>
        </w:trPr>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r>
      <w:tr>
        <w:trPr>
          <w:cantSplit/>
        </w:trPr>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c>
          <w:tcPr>
            <w:tcW w:type="dxa" w:w="1872"/>
            <w:shd w:fill="FFFFFF"/>
            <w:tcMar>
              <w:top w:w="80" w:type="dxa"/>
              <w:bottom w:w="80" w:type="dxa"/>
              <w:left w:w="120" w:type="dxa"/>
              <w:right w:w="120" w:type="dxa"/>
            </w:tcMar>
          </w:tcPr>
          <w:p/>
        </w:tc>
      </w:tr>
      <w:tr>
        <w:trPr>
          <w:cantSplit/>
        </w:trPr>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c>
          <w:tcPr>
            <w:tcW w:type="dxa" w:w="1872"/>
            <w:shd w:fill="F9FBFD"/>
            <w:tcMar>
              <w:top w:w="80" w:type="dxa"/>
              <w:bottom w:w="80" w:type="dxa"/>
              <w:left w:w="120" w:type="dxa"/>
              <w:right w:w="120" w:type="dxa"/>
            </w:tcMar>
          </w:tcPr>
          <w:p/>
        </w:tc>
      </w:tr>
    </w:tbl>
    <w:p>
      <w:pPr>
        <w:spacing w:before="160" w:after="4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multi_seed_robustness.png"/>
                    <pic:cNvPicPr/>
                  </pic:nvPicPr>
                  <pic:blipFill>
                    <a:blip r:embed="rId12"/>
                    <a:stretch>
                      <a:fillRect/>
                    </a:stretch>
                  </pic:blipFill>
                  <pic:spPr>
                    <a:xfrm>
                      <a:off x="0" y="0"/>
                      <a:ext cx="5303520" cy="2946400"/>
                    </a:xfrm>
                    <a:prstGeom prst="rect"/>
                  </pic:spPr>
                </pic:pic>
              </a:graphicData>
            </a:graphic>
          </wp:inline>
        </w:drawing>
      </w:r>
    </w:p>
    <w:p>
      <w:pPr>
        <w:spacing w:after="200"/>
        <w:jc w:val="center"/>
      </w:pPr>
      <w:r>
        <w:rPr>
          <w:rFonts w:ascii="Calibri" w:hAnsi="Calibri"/>
          <w:i/>
          <w:color w:val="595959"/>
          <w:sz w:val="19"/>
        </w:rPr>
        <w:t>Figure: Multi-Seed Policy Robustness Evaluation (Mean ± Std Dev)</w:t>
      </w:r>
    </w:p>
    <w:p>
      <w:pPr>
        <w:keepNext/>
        <w:spacing w:before="240" w:after="80"/>
      </w:pPr>
      <w:r>
        <w:rPr>
          <w:rFonts w:ascii="Calibri" w:hAnsi="Calibri"/>
          <w:b/>
          <w:color w:val="2F5597"/>
          <w:sz w:val="28"/>
        </w:rPr>
        <w:t>6.4 Life-Threatening Critical Case Isolation</w:t>
      </w:r>
    </w:p>
    <w:p>
      <w:pPr>
        <w:spacing w:after="120" w:line="276" w:lineRule="auto"/>
      </w:pPr>
      <w:r>
        <w:rPr>
          <w:rFonts w:ascii="Calibri" w:hAnsi="Calibri"/>
          <w:color w:val="262626"/>
          <w:sz w:val="22"/>
        </w:rPr>
        <w:t>For life-threatening Severity 0 cases, pre-hospital transport time is paramount. Table 7 summarizes critical-case performance: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F4E79"/>
            <w:tcMar>
              <w:top w:w="100" w:type="dxa"/>
              <w:bottom w:w="100" w:type="dxa"/>
              <w:left w:w="120" w:type="dxa"/>
              <w:right w:w="120" w:type="dxa"/>
            </w:tcMar>
          </w:tcPr>
          <w:p>
            <w:pPr>
              <w:jc w:val="center"/>
            </w:pPr>
            <w:r>
              <w:rPr>
                <w:rFonts w:ascii="Calibri" w:hAnsi="Calibri"/>
                <w:b/>
                <w:color w:val="FFFFFF"/>
                <w:sz w:val="20"/>
              </w:rPr>
              <w:t>Policy</w:t>
            </w:r>
          </w:p>
        </w:tc>
        <w:tc>
          <w:tcPr>
            <w:tcW w:type="dxa" w:w="2340"/>
            <w:shd w:fill="1F4E79"/>
            <w:tcMar>
              <w:top w:w="100" w:type="dxa"/>
              <w:bottom w:w="100" w:type="dxa"/>
              <w:left w:w="120" w:type="dxa"/>
              <w:right w:w="120" w:type="dxa"/>
            </w:tcMar>
          </w:tcPr>
          <w:p>
            <w:pPr>
              <w:jc w:val="center"/>
            </w:pPr>
            <w:r>
              <w:rPr>
                <w:rFonts w:ascii="Calibri" w:hAnsi="Calibri"/>
                <w:b/>
                <w:color w:val="FFFFFF"/>
                <w:sz w:val="20"/>
              </w:rPr>
              <w:t>Critical Travel (min)</w:t>
            </w:r>
          </w:p>
        </w:tc>
        <w:tc>
          <w:tcPr>
            <w:tcW w:type="dxa" w:w="2340"/>
            <w:shd w:fill="1F4E79"/>
            <w:tcMar>
              <w:top w:w="100" w:type="dxa"/>
              <w:bottom w:w="100" w:type="dxa"/>
              <w:left w:w="120" w:type="dxa"/>
              <w:right w:w="120" w:type="dxa"/>
            </w:tcMar>
          </w:tcPr>
          <w:p>
            <w:pPr>
              <w:jc w:val="center"/>
            </w:pPr>
            <w:r>
              <w:rPr>
                <w:rFonts w:ascii="Calibri" w:hAnsi="Calibri"/>
                <w:b/>
                <w:color w:val="FFFFFF"/>
                <w:sz w:val="20"/>
              </w:rPr>
              <w:t>Reward</w:t>
            </w:r>
          </w:p>
        </w:tc>
        <w:tc>
          <w:tcPr>
            <w:tcW w:type="dxa" w:w="2340"/>
            <w:shd w:fill="1F4E79"/>
            <w:tcMar>
              <w:top w:w="100" w:type="dxa"/>
              <w:bottom w:w="100" w:type="dxa"/>
              <w:left w:w="120" w:type="dxa"/>
              <w:right w:w="120" w:type="dxa"/>
            </w:tcMar>
          </w:tcPr>
          <w:p>
            <w:pPr>
              <w:jc w:val="center"/>
            </w:pPr>
            <w:r>
              <w:rPr>
                <w:rFonts w:ascii="Calibri" w:hAnsi="Calibri"/>
                <w:b/>
                <w:color w:val="FFFFFF"/>
                <w:sz w:val="20"/>
              </w:rPr>
              <w:t>Overload Rate</w:t>
            </w: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bl>
    <w:p>
      <w:pPr>
        <w:spacing w:before="160" w:after="40"/>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critical_case_performance.png"/>
                    <pic:cNvPicPr/>
                  </pic:nvPicPr>
                  <pic:blipFill>
                    <a:blip r:embed="rId13"/>
                    <a:stretch>
                      <a:fillRect/>
                    </a:stretch>
                  </pic:blipFill>
                  <pic:spPr>
                    <a:xfrm>
                      <a:off x="0" y="0"/>
                      <a:ext cx="5303520" cy="2946400"/>
                    </a:xfrm>
                    <a:prstGeom prst="rect"/>
                  </pic:spPr>
                </pic:pic>
              </a:graphicData>
            </a:graphic>
          </wp:inline>
        </w:drawing>
      </w:r>
    </w:p>
    <w:p>
      <w:pPr>
        <w:spacing w:after="200"/>
        <w:jc w:val="center"/>
      </w:pPr>
      <w:r>
        <w:rPr>
          <w:rFonts w:ascii="Calibri" w:hAnsi="Calibri"/>
          <w:i/>
          <w:color w:val="595959"/>
          <w:sz w:val="19"/>
        </w:rPr>
        <w:t>Figure: Life-Threatening Critical Case Pre-Hospital Travel Time</w:t>
      </w:r>
    </w:p>
    <w:p>
      <w:pPr>
        <w:keepNext/>
        <w:spacing w:before="240" w:after="80"/>
      </w:pPr>
      <w:r>
        <w:rPr>
          <w:rFonts w:ascii="Calibri" w:hAnsi="Calibri"/>
          <w:b/>
          <w:color w:val="2F5597"/>
          <w:sz w:val="28"/>
        </w:rPr>
        <w:t>6.5 Resource Equity &amp; Jain Fairness Evaluation</w:t>
      </w:r>
    </w:p>
    <w:p>
      <w:pPr>
        <w:spacing w:after="120" w:line="276" w:lineRule="auto"/>
      </w:pPr>
      <w:r>
        <w:rPr>
          <w:rFonts w:ascii="Calibri" w:hAnsi="Calibri"/>
          <w:color w:val="262626"/>
          <w:sz w:val="22"/>
        </w:rPr>
        <w:t>Table 8 summarizes hospital utilization variance and Jain Fairness Index scores across policies: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F4E79"/>
            <w:tcMar>
              <w:top w:w="100" w:type="dxa"/>
              <w:bottom w:w="100" w:type="dxa"/>
              <w:left w:w="120" w:type="dxa"/>
              <w:right w:w="120" w:type="dxa"/>
            </w:tcMar>
          </w:tcPr>
          <w:p>
            <w:pPr>
              <w:jc w:val="center"/>
            </w:pPr>
            <w:r>
              <w:rPr>
                <w:rFonts w:ascii="Calibri" w:hAnsi="Calibri"/>
                <w:b/>
                <w:color w:val="FFFFFF"/>
                <w:sz w:val="20"/>
              </w:rPr>
              <w:t>Policy</w:t>
            </w:r>
          </w:p>
        </w:tc>
        <w:tc>
          <w:tcPr>
            <w:tcW w:type="dxa" w:w="2340"/>
            <w:shd w:fill="1F4E79"/>
            <w:tcMar>
              <w:top w:w="100" w:type="dxa"/>
              <w:bottom w:w="100" w:type="dxa"/>
              <w:left w:w="120" w:type="dxa"/>
              <w:right w:w="120" w:type="dxa"/>
            </w:tcMar>
          </w:tcPr>
          <w:p>
            <w:pPr>
              <w:jc w:val="center"/>
            </w:pPr>
            <w:r>
              <w:rPr>
                <w:rFonts w:ascii="Calibri" w:hAnsi="Calibri"/>
                <w:b/>
                <w:color w:val="FFFFFF"/>
                <w:sz w:val="20"/>
              </w:rPr>
              <w:t>Jain Fairness Index</w:t>
            </w:r>
          </w:p>
        </w:tc>
        <w:tc>
          <w:tcPr>
            <w:tcW w:type="dxa" w:w="2340"/>
            <w:shd w:fill="1F4E79"/>
            <w:tcMar>
              <w:top w:w="100" w:type="dxa"/>
              <w:bottom w:w="100" w:type="dxa"/>
              <w:left w:w="120" w:type="dxa"/>
              <w:right w:w="120" w:type="dxa"/>
            </w:tcMar>
          </w:tcPr>
          <w:p>
            <w:pPr>
              <w:jc w:val="center"/>
            </w:pPr>
            <w:r>
              <w:rPr>
                <w:rFonts w:ascii="Calibri" w:hAnsi="Calibri"/>
                <w:b/>
                <w:color w:val="FFFFFF"/>
                <w:sz w:val="20"/>
              </w:rPr>
              <w:t>Utilization Variance</w:t>
            </w:r>
          </w:p>
        </w:tc>
        <w:tc>
          <w:tcPr>
            <w:tcW w:type="dxa" w:w="2340"/>
            <w:shd w:fill="1F4E79"/>
            <w:tcMar>
              <w:top w:w="100" w:type="dxa"/>
              <w:bottom w:w="100" w:type="dxa"/>
              <w:left w:w="120" w:type="dxa"/>
              <w:right w:w="120" w:type="dxa"/>
            </w:tcMar>
          </w:tcPr>
          <w:p>
            <w:pPr>
              <w:jc w:val="center"/>
            </w:pPr>
            <w:r>
              <w:rPr>
                <w:rFonts w:ascii="Calibri" w:hAnsi="Calibri"/>
                <w:b/>
                <w:color w:val="FFFFFF"/>
                <w:sz w:val="20"/>
              </w:rPr>
              <w:t>Mean Final Load</w:t>
            </w: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r>
        <w:trPr>
          <w:cantSplit/>
        </w:trPr>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c>
          <w:tcPr>
            <w:tcW w:type="dxa" w:w="2340"/>
            <w:shd w:fill="FFFFFF"/>
            <w:tcMar>
              <w:top w:w="80" w:type="dxa"/>
              <w:bottom w:w="80" w:type="dxa"/>
              <w:left w:w="120" w:type="dxa"/>
              <w:right w:w="120" w:type="dxa"/>
            </w:tcMar>
          </w:tcPr>
          <w:p/>
        </w:tc>
      </w:tr>
      <w:tr>
        <w:trPr>
          <w:cantSplit/>
        </w:trPr>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c>
          <w:tcPr>
            <w:tcW w:type="dxa" w:w="2340"/>
            <w:shd w:fill="F9FBFD"/>
            <w:tcMar>
              <w:top w:w="80" w:type="dxa"/>
              <w:bottom w:w="80" w:type="dxa"/>
              <w:left w:w="120" w:type="dxa"/>
              <w:right w:w="120" w:type="dxa"/>
            </w:tcMar>
          </w:tcPr>
          <w:p/>
        </w:tc>
      </w:tr>
    </w:tbl>
    <w:p>
      <w:pPr>
        <w:spacing w:before="160" w:after="40"/>
        <w:jc w:val="center"/>
      </w:pPr>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fairness_comparison.png"/>
                    <pic:cNvPicPr/>
                  </pic:nvPicPr>
                  <pic:blipFill>
                    <a:blip r:embed="rId14"/>
                    <a:stretch>
                      <a:fillRect/>
                    </a:stretch>
                  </pic:blipFill>
                  <pic:spPr>
                    <a:xfrm>
                      <a:off x="0" y="0"/>
                      <a:ext cx="5303520" cy="2946400"/>
                    </a:xfrm>
                    <a:prstGeom prst="rect"/>
                  </pic:spPr>
                </pic:pic>
              </a:graphicData>
            </a:graphic>
          </wp:inline>
        </w:drawing>
      </w:r>
    </w:p>
    <w:p>
      <w:pPr>
        <w:spacing w:after="200"/>
        <w:jc w:val="center"/>
      </w:pPr>
      <w:r>
        <w:rPr>
          <w:rFonts w:ascii="Calibri" w:hAnsi="Calibri"/>
          <w:i/>
          <w:color w:val="595959"/>
          <w:sz w:val="19"/>
        </w:rPr>
        <w:t>Figure: Resource Equity — Jain Fairness Index Across Regional Hospitals</w:t>
      </w:r>
    </w:p>
    <w:p>
      <w:pPr>
        <w:keepNext/>
        <w:spacing w:before="320" w:after="120"/>
      </w:pPr>
      <w:r>
        <w:rPr>
          <w:rFonts w:ascii="Calibri" w:hAnsi="Calibri"/>
          <w:b/>
          <w:color w:val="1F4E79"/>
          <w:sz w:val="36"/>
        </w:rPr>
        <w:t>7. Discussion</w:t>
      </w:r>
    </w:p>
    <w:p>
      <w:pPr>
        <w:keepNext/>
        <w:spacing w:before="240" w:after="80"/>
      </w:pPr>
      <w:r>
        <w:rPr>
          <w:rFonts w:ascii="Calibri" w:hAnsi="Calibri"/>
          <w:b/>
          <w:color w:val="2F5597"/>
          <w:sz w:val="28"/>
        </w:rPr>
        <w:t>7.1 Operational Trade-offs &amp; Policy Behaviors</w:t>
      </w:r>
    </w:p>
    <w:p>
      <w:pPr>
        <w:spacing w:after="120" w:line="276" w:lineRule="auto"/>
      </w:pPr>
      <w:r>
        <w:rPr>
          <w:rFonts w:ascii="Calibri" w:hAnsi="Calibri"/>
          <w:color w:val="262626"/>
          <w:sz w:val="22"/>
        </w:rPr>
        <w:t>The empirical findings highlight fundamental operational trade-offs in emergency hospital dispatching:</w:t>
      </w:r>
    </w:p>
    <w:p>
      <w:pPr>
        <w:spacing w:after="120" w:line="276" w:lineRule="auto"/>
      </w:pPr>
      <w:r>
        <w:rPr>
          <w:rFonts w:ascii="Calibri" w:hAnsi="Calibri"/>
          <w:b/>
          <w:color w:val="262626"/>
          <w:sz w:val="22"/>
        </w:rPr>
        <w:t xml:space="preserve">1. Distance Primacy: </w:t>
      </w:r>
      <w:r>
        <w:rPr>
          <w:rFonts w:ascii="Calibri" w:hAnsi="Calibri"/>
          <w:color w:val="262626"/>
          <w:sz w:val="22"/>
        </w:rPr>
        <w:t>• Nearest-Facility Dominance in Low-Congestion Settings: When receiving hospitals operate well below capacity (utilization &lt; 50%), greedy nearest-facility routing yields optimal travel times (~12.14 minutes) without incurring overload penalties.</w:t>
      </w:r>
    </w:p>
    <w:p>
      <w:pPr>
        <w:spacing w:after="120" w:line="276" w:lineRule="auto"/>
      </w:pPr>
      <w:r>
        <w:rPr>
          <w:rFonts w:ascii="Calibri" w:hAnsi="Calibri"/>
          <w:b/>
          <w:color w:val="262626"/>
          <w:sz w:val="22"/>
        </w:rPr>
        <w:t xml:space="preserve">2. State-Dependent Routing: </w:t>
      </w:r>
      <w:r>
        <w:rPr>
          <w:rFonts w:ascii="Calibri" w:hAnsi="Calibri"/>
          <w:color w:val="262626"/>
          <w:sz w:val="22"/>
        </w:rPr>
        <w:t>• Deep Q-Network Load-Aware Diversion: As local hospitals approach saturation (&gt;85% capacity), the trained DQN agent dynamically shifts allocation to slightly farther receiving facilities, sacrificing a few minutes of travel time to prevent severe overload penalties and ambulance diversion.</w:t>
      </w:r>
    </w:p>
    <w:p>
      <w:pPr>
        <w:spacing w:after="120" w:line="276" w:lineRule="auto"/>
      </w:pPr>
      <w:r>
        <w:rPr>
          <w:rFonts w:ascii="Calibri" w:hAnsi="Calibri"/>
          <w:b/>
          <w:color w:val="262626"/>
          <w:sz w:val="22"/>
        </w:rPr>
        <w:t xml:space="preserve">3. Pure Capacity Pitfall: </w:t>
      </w:r>
      <w:r>
        <w:rPr>
          <w:rFonts w:ascii="Calibri" w:hAnsi="Calibri"/>
          <w:color w:val="262626"/>
          <w:sz w:val="22"/>
        </w:rPr>
        <w:t>• Inefficiency of Capacity-First Routing: Pure capacity-first heuristics spread patient demand evenly across the network but suffer extreme travel time penalties (~38.05 minutes), demonstrating that ignoring geographic distance is operationally unacceptable.</w:t>
      </w:r>
    </w:p>
    <w:p>
      <w:pPr>
        <w:keepNext/>
        <w:spacing w:before="240" w:after="80"/>
      </w:pPr>
      <w:r>
        <w:rPr>
          <w:rFonts w:ascii="Calibri" w:hAnsi="Calibri"/>
          <w:b/>
          <w:color w:val="2F5597"/>
          <w:sz w:val="28"/>
        </w:rPr>
        <w:t>7.2 Real-World Deployment Limitations</w:t>
      </w:r>
    </w:p>
    <w:p>
      <w:pPr>
        <w:spacing w:after="120" w:line="276" w:lineRule="auto"/>
      </w:pPr>
      <w:r>
        <w:rPr>
          <w:rFonts w:ascii="Calibri" w:hAnsi="Calibri"/>
          <w:color w:val="262626"/>
          <w:sz w:val="22"/>
        </w:rPr>
        <w:t>While the simulator provides strong decision-support insights, real-world deployment requires acknowledging specific operational constraints:</w:t>
      </w:r>
    </w:p>
    <w:p>
      <w:pPr>
        <w:spacing w:after="120" w:line="276" w:lineRule="auto"/>
      </w:pPr>
      <w:r>
        <w:rPr>
          <w:rFonts w:ascii="Calibri" w:hAnsi="Calibri"/>
          <w:b/>
          <w:color w:val="262626"/>
          <w:sz w:val="22"/>
        </w:rPr>
        <w:t xml:space="preserve">• Privacy Proxies: </w:t>
      </w:r>
      <w:r>
        <w:rPr>
          <w:rFonts w:ascii="Calibri" w:hAnsi="Calibri"/>
          <w:color w:val="262626"/>
          <w:sz w:val="22"/>
        </w:rPr>
        <w:t>1. Spatial Aggregation: EMS incident coordinates are masked to ZIP centroids for privacy. Real-world dispatchers require turn-by-turn GPS routing.</w:t>
      </w:r>
    </w:p>
    <w:p>
      <w:pPr>
        <w:spacing w:after="120" w:line="276" w:lineRule="auto"/>
      </w:pPr>
      <w:r>
        <w:rPr>
          <w:rFonts w:ascii="Calibri" w:hAnsi="Calibri"/>
          <w:b/>
          <w:color w:val="262626"/>
          <w:sz w:val="22"/>
        </w:rPr>
        <w:t xml:space="preserve">• Telemetry Integration: </w:t>
      </w:r>
      <w:r>
        <w:rPr>
          <w:rFonts w:ascii="Calibri" w:hAnsi="Calibri"/>
          <w:color w:val="262626"/>
          <w:sz w:val="22"/>
        </w:rPr>
        <w:t>2. Live Capacity Telemetry: Real-time emergency department bed availability requires integration with hospital EHR/EMR interfaces (e.g., HL7 FHIR feeds).</w:t>
      </w:r>
    </w:p>
    <w:p>
      <w:pPr>
        <w:spacing w:after="120" w:line="276" w:lineRule="auto"/>
      </w:pPr>
      <w:r>
        <w:rPr>
          <w:rFonts w:ascii="Calibri" w:hAnsi="Calibri"/>
          <w:b/>
          <w:color w:val="262626"/>
          <w:sz w:val="22"/>
        </w:rPr>
        <w:t xml:space="preserve">• Dynamic Congestion: </w:t>
      </w:r>
      <w:r>
        <w:rPr>
          <w:rFonts w:ascii="Calibri" w:hAnsi="Calibri"/>
          <w:color w:val="262626"/>
          <w:sz w:val="22"/>
        </w:rPr>
        <w:t>3. Dynamic Traffic Gridlock: Traffic speeds are modeled stochastically; real-time integration with live traffic APIs (e.g., Google Maps, HERE) is necessary for operational dispatching.</w:t>
      </w:r>
    </w:p>
    <w:p>
      <w:pPr>
        <w:keepNext/>
        <w:spacing w:before="320" w:after="120"/>
      </w:pPr>
      <w:r>
        <w:rPr>
          <w:rFonts w:ascii="Calibri" w:hAnsi="Calibri"/>
          <w:b/>
          <w:color w:val="1F4E79"/>
          <w:sz w:val="36"/>
        </w:rPr>
        <w:t>8. Conclusion</w:t>
      </w:r>
    </w:p>
    <w:p>
      <w:pPr>
        <w:spacing w:after="120" w:line="276" w:lineRule="auto"/>
      </w:pPr>
      <w:r>
        <w:rPr>
          <w:rFonts w:ascii="Calibri" w:hAnsi="Calibri"/>
          <w:color w:val="262626"/>
          <w:sz w:val="22"/>
        </w:rPr>
        <w:t>This study successfully implemented, evaluated, and documented a data-driven Deep Reinforcement Learning framework for dynamic emergency medical resource allocation grounded in real NYC EMS data, acute-care hospital facilities, NYS bed capacities, and Census spatial proxies.</w:t>
      </w:r>
    </w:p>
    <w:p>
      <w:pPr>
        <w:spacing w:after="120" w:line="276" w:lineRule="auto"/>
      </w:pPr>
      <w:r>
        <w:rPr>
          <w:rFonts w:ascii="Calibri" w:hAnsi="Calibri"/>
          <w:color w:val="262626"/>
          <w:sz w:val="22"/>
        </w:rPr>
        <w:t>The empirical results demonstrate that deep Q-learning effectively balances pre-hospital travel time minimization against hospital bed congestion avoidance. Under normal operating conditions, DQN achieves zero hospital overload (0.0%) and 100% allocation success. Across severe congestion surge scenarios and multi-seed evaluations, reinforcement learning provides a principled operational framework for dynamic patient dispatching.</w:t>
      </w:r>
    </w:p>
    <w:p>
      <w:pPr>
        <w:spacing w:after="120" w:line="276" w:lineRule="auto"/>
      </w:pPr>
      <w:r>
        <w:rPr>
          <w:rFonts w:ascii="Calibri" w:hAnsi="Calibri"/>
          <w:color w:val="262626"/>
          <w:sz w:val="22"/>
        </w:rPr>
        <w:t>Future work will extend this framework to Multi-Agent Reinforcement Learning (MARL) for joint ambulance fleet repositioning and hospital routing, alongside Graph Neural Network (GNN) embeddings for real-time urban road network traffic forecasting.</w:t>
      </w:r>
    </w:p>
    <w:p>
      <w:pPr>
        <w:keepNext/>
        <w:spacing w:before="320" w:after="120"/>
      </w:pPr>
      <w:r>
        <w:rPr>
          <w:rFonts w:ascii="Calibri" w:hAnsi="Calibri"/>
          <w:b/>
          <w:color w:val="1F4E79"/>
          <w:sz w:val="36"/>
        </w:rPr>
        <w:t>9. References</w:t>
      </w:r>
    </w:p>
    <w:p>
      <w:pPr>
        <w:spacing w:after="80" w:line="276" w:lineRule="auto"/>
      </w:pPr>
      <w:r>
        <w:rPr>
          <w:rFonts w:ascii="Calibri" w:hAnsi="Calibri"/>
          <w:color w:val="262626"/>
          <w:sz w:val="22"/>
        </w:rPr>
        <w:t>Allen, M., Pearn, K., &amp; Monks, T. (2021). Developing an OpenAI Gym-compatible framework and simulation environment for testing Deep Reinforcement Learning agents solving the Ambulance Location Problem. arXiv preprint arXiv:2101.04434.</w:t>
      </w:r>
    </w:p>
    <w:p>
      <w:pPr>
        <w:spacing w:after="80" w:line="276" w:lineRule="auto"/>
      </w:pPr>
      <w:r>
        <w:rPr>
          <w:rFonts w:ascii="Calibri" w:hAnsi="Calibri"/>
          <w:color w:val="262626"/>
          <w:sz w:val="22"/>
        </w:rPr>
        <w:t>Hua, C., &amp; Zaman, T. (2020). Optimal Dispatch in Emergency Service System via Reinforcement Learning. arXiv preprint arXiv:2010.07513.</w:t>
      </w:r>
    </w:p>
    <w:p>
      <w:pPr>
        <w:spacing w:after="80" w:line="276" w:lineRule="auto"/>
      </w:pPr>
      <w:r>
        <w:rPr>
          <w:rFonts w:ascii="Calibri" w:hAnsi="Calibri"/>
          <w:color w:val="262626"/>
          <w:sz w:val="22"/>
        </w:rPr>
        <w:t>Jain, R. K., Chiu, D. M., &amp; Hawe, W. R. (1984). A quantitative measure of fairness and discrimination for resource allocation in Shared Computer Systems. DEC Research Report TM-57.</w:t>
      </w:r>
    </w:p>
    <w:p>
      <w:pPr>
        <w:spacing w:after="80" w:line="276" w:lineRule="auto"/>
      </w:pPr>
      <w:r>
        <w:rPr>
          <w:rFonts w:ascii="Calibri" w:hAnsi="Calibri"/>
          <w:color w:val="262626"/>
          <w:sz w:val="22"/>
        </w:rPr>
        <w:t>Li, Y., et al. (2023). Deep Reinforcement Learning for Efficient and Fair Allocation of Health Care Resources. arXiv preprint arXiv:2309.08560.</w:t>
      </w:r>
    </w:p>
    <w:p>
      <w:pPr>
        <w:spacing w:after="80" w:line="276" w:lineRule="auto"/>
      </w:pPr>
      <w:r>
        <w:rPr>
          <w:rFonts w:ascii="Calibri" w:hAnsi="Calibri"/>
          <w:color w:val="262626"/>
          <w:sz w:val="22"/>
        </w:rPr>
        <w:t>Mnih, V., Kavukcuoglu, K., Silver, D., et al. (2015). Human-level control through deep reinforcement learning. Nature, 518(7540), 529-533.</w:t>
      </w:r>
    </w:p>
    <w:p>
      <w:pPr>
        <w:spacing w:after="80" w:line="276" w:lineRule="auto"/>
      </w:pPr>
      <w:r>
        <w:rPr>
          <w:rFonts w:ascii="Calibri" w:hAnsi="Calibri"/>
          <w:color w:val="262626"/>
          <w:sz w:val="22"/>
        </w:rPr>
        <w:t>New York City Open Data. (2025). EMS Incident Dispatch Data. FDNY Computer Aided Dispatch System. Available at: https://data.cityofnewyork.us/resource/76xm-jjuj.</w:t>
      </w:r>
    </w:p>
    <w:p>
      <w:pPr>
        <w:spacing w:after="80" w:line="276" w:lineRule="auto"/>
      </w:pPr>
      <w:r>
        <w:rPr>
          <w:rFonts w:ascii="Calibri" w:hAnsi="Calibri"/>
          <w:color w:val="262626"/>
          <w:sz w:val="22"/>
        </w:rPr>
        <w:t>New York City Open Data. (2025). Health and Hospitals Corporation (HHC) Facilities. Available at: https://data.cityofnewyork.us/resource/q6fj-vxf8.</w:t>
      </w:r>
    </w:p>
    <w:p>
      <w:pPr>
        <w:spacing w:after="80" w:line="276" w:lineRule="auto"/>
      </w:pPr>
      <w:r>
        <w:rPr>
          <w:rFonts w:ascii="Calibri" w:hAnsi="Calibri"/>
          <w:color w:val="262626"/>
          <w:sz w:val="22"/>
        </w:rPr>
        <w:t>New York State Department of Health. (2025). Health Facility Licensed Bed Capacity. Available at: https://health.data.ny.gov/resource/2g9y-7kqm.</w:t>
      </w:r>
    </w:p>
    <w:p>
      <w:pPr>
        <w:spacing w:after="80" w:line="276" w:lineRule="auto"/>
      </w:pPr>
      <w:r>
        <w:rPr>
          <w:rFonts w:ascii="Calibri" w:hAnsi="Calibri"/>
          <w:color w:val="262626"/>
          <w:sz w:val="22"/>
        </w:rPr>
        <w:t>Schulman, J., Wolski, F., Dhariwal, P., Radford, A., &amp; Klimov, O. (2017). Proximal policy optimization algorithms. arXiv preprint arXiv:1707.06347.</w:t>
      </w:r>
    </w:p>
    <w:p>
      <w:pPr>
        <w:spacing w:after="80" w:line="276" w:lineRule="auto"/>
      </w:pPr>
      <w:r>
        <w:rPr>
          <w:rFonts w:ascii="Calibri" w:hAnsi="Calibri"/>
          <w:color w:val="262626"/>
          <w:sz w:val="22"/>
        </w:rPr>
        <w:t>U.S. Census Bureau. (2020). Gazetteer Files — ZIP Code Tabulation Areas (ZCTA). Available at: https://www.census.gov/geographies/reference-files/time-series/geo/gazetteer-files.html.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