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2"/>
        </w:rPr>
        <w:t>BCSE307P – Compiler Design Lab</w:t>
      </w:r>
    </w:p>
    <w:p>
      <w:pPr>
        <w:spacing w:after="280"/>
        <w:jc w:val="center"/>
      </w:pPr>
      <w:r>
        <w:rPr>
          <w:b/>
          <w:i w:val="0"/>
          <w:sz w:val="28"/>
        </w:rPr>
        <w:t>Project Review III – Individual Contribution Statement</w:t>
      </w:r>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E6EBFF"/>
          </w:tcPr>
          <w:p>
            <w:r/>
            <w:r>
              <w:rPr>
                <w:b/>
                <w:sz w:val="21"/>
              </w:rPr>
              <w:t>Field</w:t>
            </w:r>
          </w:p>
        </w:tc>
        <w:tc>
          <w:tcPr>
            <w:tcW w:type="dxa" w:w="7344"/>
            <w:shd w:val="clear" w:color="auto" w:fill="E6EBFF"/>
          </w:tcPr>
          <w:p>
            <w:r/>
            <w:r>
              <w:rPr>
                <w:b/>
                <w:sz w:val="21"/>
              </w:rPr>
              <w:t>Details</w:t>
            </w:r>
          </w:p>
        </w:tc>
      </w:tr>
      <w:tr>
        <w:tc>
          <w:tcPr>
            <w:tcW w:type="dxa" w:w="2016"/>
          </w:tcPr>
          <w:p>
            <w:r/>
            <w:r>
              <w:rPr>
                <w:sz w:val="21"/>
              </w:rPr>
              <w:t>Project</w:t>
            </w:r>
          </w:p>
        </w:tc>
        <w:tc>
          <w:tcPr>
            <w:tcW w:type="dxa" w:w="7344"/>
          </w:tcPr>
          <w:p>
            <w:r/>
            <w:r>
              <w:rPr>
                <w:sz w:val="21"/>
              </w:rPr>
              <w:t>Compiler-Based Automatic Test Case Generation Using AST and Program Analysis (BranchLab)</w:t>
            </w:r>
          </w:p>
        </w:tc>
      </w:tr>
      <w:tr>
        <w:tc>
          <w:tcPr>
            <w:tcW w:type="dxa" w:w="2016"/>
          </w:tcPr>
          <w:p>
            <w:r/>
            <w:r>
              <w:rPr>
                <w:sz w:val="21"/>
              </w:rPr>
              <w:t>Team member</w:t>
            </w:r>
          </w:p>
        </w:tc>
        <w:tc>
          <w:tcPr>
            <w:tcW w:type="dxa" w:w="7344"/>
          </w:tcPr>
          <w:p>
            <w:r/>
            <w:r>
              <w:rPr>
                <w:sz w:val="21"/>
              </w:rPr>
              <w:t>Sneha Geevargis – 24BCB0149 (sole member)</w:t>
            </w:r>
          </w:p>
        </w:tc>
      </w:tr>
      <w:tr>
        <w:tc>
          <w:tcPr>
            <w:tcW w:type="dxa" w:w="2016"/>
          </w:tcPr>
          <w:p>
            <w:r/>
            <w:r>
              <w:rPr>
                <w:sz w:val="21"/>
              </w:rPr>
              <w:t>Role</w:t>
            </w:r>
          </w:p>
        </w:tc>
        <w:tc>
          <w:tcPr>
            <w:tcW w:type="dxa" w:w="7344"/>
          </w:tcPr>
          <w:p>
            <w:r/>
            <w:r>
              <w:rPr>
                <w:sz w:val="21"/>
              </w:rPr>
              <w:t>Design, implementation, evaluation, deployment and research manuscript</w:t>
            </w:r>
          </w:p>
        </w:tc>
      </w:tr>
      <w:tr>
        <w:tc>
          <w:tcPr>
            <w:tcW w:type="dxa" w:w="2016"/>
          </w:tcPr>
          <w:p>
            <w:r/>
            <w:r>
              <w:rPr>
                <w:sz w:val="21"/>
              </w:rPr>
              <w:t>Period</w:t>
            </w:r>
          </w:p>
        </w:tc>
        <w:tc>
          <w:tcPr>
            <w:tcW w:type="dxa" w:w="7344"/>
          </w:tcPr>
          <w:p>
            <w:r/>
            <w:r>
              <w:rPr>
                <w:sz w:val="21"/>
              </w:rPr>
              <w:t>06 October 2026 – 28 October 2026 (52 commits)</w:t>
            </w:r>
          </w:p>
        </w:tc>
      </w:tr>
      <w:tr>
        <w:tc>
          <w:tcPr>
            <w:tcW w:type="dxa" w:w="2016"/>
          </w:tcPr>
          <w:p>
            <w:r/>
            <w:r>
              <w:rPr>
                <w:sz w:val="21"/>
              </w:rPr>
              <w:t>Repository</w:t>
            </w:r>
          </w:p>
        </w:tc>
        <w:tc>
          <w:tcPr>
            <w:tcW w:type="dxa" w:w="7344"/>
          </w:tcPr>
          <w:p>
            <w:r/>
            <w:r>
              <w:rPr>
                <w:sz w:val="21"/>
              </w:rPr>
              <w:t>https://github.com/SnehaGEE/ast-test-generator</w:t>
            </w:r>
          </w:p>
        </w:tc>
      </w:tr>
      <w:tr>
        <w:tc>
          <w:tcPr>
            <w:tcW w:type="dxa" w:w="2016"/>
          </w:tcPr>
          <w:p>
            <w:r/>
            <w:r>
              <w:rPr>
                <w:sz w:val="21"/>
              </w:rPr>
              <w:t>Live demo</w:t>
            </w:r>
          </w:p>
        </w:tc>
        <w:tc>
          <w:tcPr>
            <w:tcW w:type="dxa" w:w="7344"/>
          </w:tcPr>
          <w:p>
            <w:r/>
            <w:r>
              <w:rPr>
                <w:sz w:val="21"/>
              </w:rPr>
              <w:t>https://branchlab-ggon.onrender.com</w:t>
            </w:r>
          </w:p>
        </w:tc>
      </w:tr>
    </w:tbl>
    <w:p>
      <w:pPr>
        <w:spacing w:after="40"/>
      </w:pPr>
    </w:p>
    <w:p>
      <w:pPr>
        <w:pStyle w:val="Heading1"/>
      </w:pPr>
      <w:r>
        <w:t>1. Summary</w:t>
      </w:r>
    </w:p>
    <w:p>
      <w:pPr>
        <w:spacing w:after="120"/>
      </w:pPr>
      <w:r>
        <w:rPr>
          <w:b w:val="0"/>
          <w:i w:val="0"/>
        </w:rPr>
        <w:t>I am the only member of this project team, so every component described below was designed, implemented, tested and evaluated by me. The Git history of the repository records each step. The work spans the compiler front end (parsing and AST analysis for three languages), test generation, program instrumentation, execution, coverage measurement, a web interface, an empirical evaluation, a public deployment and a research manuscript.</w:t>
      </w:r>
    </w:p>
    <w:p>
      <w:pPr>
        <w:pStyle w:val="Heading1"/>
      </w:pPr>
      <w:r>
        <w:t>2. Components and Contribution</w:t>
      </w:r>
    </w:p>
    <w:tbl>
      <w:tblPr>
        <w:tblStyle w:val="TableGrid"/>
        <w:tblW w:type="auto" w:w="0"/>
        <w:jc w:val="center"/>
        <w:tblLook w:firstColumn="1" w:firstRow="1" w:lastColumn="0" w:lastRow="0" w:noHBand="0" w:noVBand="1" w:val="04A0"/>
      </w:tblPr>
      <w:tblGrid>
        <w:gridCol w:w="3120"/>
        <w:gridCol w:w="3120"/>
        <w:gridCol w:w="3120"/>
      </w:tblGrid>
      <w:tr>
        <w:tc>
          <w:tcPr>
            <w:tcW w:type="dxa" w:w="2232"/>
            <w:shd w:val="clear" w:color="auto" w:fill="E6EBFF"/>
          </w:tcPr>
          <w:p>
            <w:r/>
            <w:r>
              <w:rPr>
                <w:b/>
                <w:sz w:val="19"/>
              </w:rPr>
              <w:t>Component</w:t>
            </w:r>
          </w:p>
        </w:tc>
        <w:tc>
          <w:tcPr>
            <w:tcW w:type="dxa" w:w="4320"/>
            <w:shd w:val="clear" w:color="auto" w:fill="E6EBFF"/>
          </w:tcPr>
          <w:p>
            <w:r/>
            <w:r>
              <w:rPr>
                <w:b/>
                <w:sz w:val="19"/>
              </w:rPr>
              <w:t>What I did</w:t>
            </w:r>
          </w:p>
        </w:tc>
        <w:tc>
          <w:tcPr>
            <w:tcW w:type="dxa" w:w="2808"/>
            <w:shd w:val="clear" w:color="auto" w:fill="E6EBFF"/>
          </w:tcPr>
          <w:p>
            <w:r/>
            <w:r>
              <w:rPr>
                <w:b/>
                <w:sz w:val="19"/>
              </w:rPr>
              <w:t>Main files</w:t>
            </w:r>
          </w:p>
        </w:tc>
      </w:tr>
      <w:tr>
        <w:tc>
          <w:tcPr>
            <w:tcW w:type="dxa" w:w="2232"/>
          </w:tcPr>
          <w:p>
            <w:r/>
            <w:r>
              <w:rPr>
                <w:sz w:val="19"/>
              </w:rPr>
              <w:t>AST parsing and condition analysis</w:t>
            </w:r>
          </w:p>
        </w:tc>
        <w:tc>
          <w:tcPr>
            <w:tcW w:type="dxa" w:w="4320"/>
          </w:tcPr>
          <w:p>
            <w:r/>
            <w:r>
              <w:rPr>
                <w:sz w:val="19"/>
              </w:rPr>
              <w:t>Python ast analysis; Tree-sitter analysis for C and Java; normalisation of reversed operands, negation, &amp;&amp;/||, signed/hex/suffixed literals; switch and match cases as conditions</w:t>
            </w:r>
          </w:p>
        </w:tc>
        <w:tc>
          <w:tcPr>
            <w:tcW w:type="dxa" w:w="2808"/>
          </w:tcPr>
          <w:p>
            <w:r/>
            <w:r>
              <w:rPr>
                <w:sz w:val="19"/>
              </w:rPr>
              <w:t>src/parser/analyzer/condition_analyzer.py, src/languages/tree_sitter_conditions.py</w:t>
            </w:r>
          </w:p>
        </w:tc>
      </w:tr>
      <w:tr>
        <w:tc>
          <w:tcPr>
            <w:tcW w:type="dxa" w:w="2232"/>
          </w:tcPr>
          <w:p>
            <w:r/>
            <w:r>
              <w:rPr>
                <w:sz w:val="19"/>
              </w:rPr>
              <w:t>Boundary test generation</w:t>
            </w:r>
          </w:p>
        </w:tc>
        <w:tc>
          <w:tcPr>
            <w:tcW w:type="dxa" w:w="4320"/>
          </w:tcPr>
          <w:p>
            <w:r/>
            <w:r>
              <w:rPr>
                <w:sz w:val="19"/>
              </w:rPr>
              <w:t>c−1, c, c+1 candidates (nearest floats for float constants); budgeted row selection; invalid-input and fuzz tests</w:t>
            </w:r>
          </w:p>
        </w:tc>
        <w:tc>
          <w:tcPr>
            <w:tcW w:type="dxa" w:w="2808"/>
          </w:tcPr>
          <w:p>
            <w:r/>
            <w:r>
              <w:rPr>
                <w:sz w:val="19"/>
              </w:rPr>
              <w:t>src/parser/analyzer/generator/test_generator.py, src/core/input_combinations.py</w:t>
            </w:r>
          </w:p>
        </w:tc>
      </w:tr>
      <w:tr>
        <w:tc>
          <w:tcPr>
            <w:tcW w:type="dxa" w:w="2232"/>
          </w:tcPr>
          <w:p>
            <w:r/>
            <w:r>
              <w:rPr>
                <w:sz w:val="19"/>
              </w:rPr>
              <w:t>Path-aware input delivery</w:t>
            </w:r>
          </w:p>
        </w:tc>
        <w:tc>
          <w:tcPr>
            <w:tcW w:type="dxa" w:w="4320"/>
          </w:tcPr>
          <w:p>
            <w:r/>
            <w:r>
              <w:rPr>
                <w:sz w:val="19"/>
              </w:rPr>
              <w:t>Read map from the AST: reads in order, guarded by branches and switch cases, with helper-function inlining and typed placeholders</w:t>
            </w:r>
          </w:p>
        </w:tc>
        <w:tc>
          <w:tcPr>
            <w:tcW w:type="dxa" w:w="2808"/>
          </w:tcPr>
          <w:p>
            <w:r/>
            <w:r>
              <w:rPr>
                <w:sz w:val="19"/>
              </w:rPr>
              <w:t>src/core/read_paths.py, src/core/input_order.py, src/languages/tree_sitter_reads.py</w:t>
            </w:r>
          </w:p>
        </w:tc>
      </w:tr>
      <w:tr>
        <w:tc>
          <w:tcPr>
            <w:tcW w:type="dxa" w:w="2232"/>
          </w:tcPr>
          <w:p>
            <w:r/>
            <w:r>
              <w:rPr>
                <w:sz w:val="19"/>
              </w:rPr>
              <w:t>Probe instrumentation and coverage</w:t>
            </w:r>
          </w:p>
        </w:tc>
        <w:tc>
          <w:tcPr>
            <w:tcW w:type="dxa" w:w="4320"/>
          </w:tcPr>
          <w:p>
            <w:r/>
            <w:r>
              <w:rPr>
                <w:sz w:val="19"/>
              </w:rPr>
              <w:t>Source-to-source probes for C and Java branches and statements; Python tracer; branch and statement coverage; verified suggestions</w:t>
            </w:r>
          </w:p>
        </w:tc>
        <w:tc>
          <w:tcPr>
            <w:tcW w:type="dxa" w:w="2808"/>
          </w:tcPr>
          <w:p>
            <w:r/>
            <w:r>
              <w:rPr>
                <w:sz w:val="19"/>
              </w:rPr>
              <w:t>src/languages/branch_probes.py, src/languages/compiled.py, src/coverage/coverage_analyzer.py</w:t>
            </w:r>
          </w:p>
        </w:tc>
      </w:tr>
      <w:tr>
        <w:tc>
          <w:tcPr>
            <w:tcW w:type="dxa" w:w="2232"/>
          </w:tcPr>
          <w:p>
            <w:r/>
            <w:r>
              <w:rPr>
                <w:sz w:val="19"/>
              </w:rPr>
              <w:t>Execution</w:t>
            </w:r>
          </w:p>
        </w:tc>
        <w:tc>
          <w:tcPr>
            <w:tcW w:type="dxa" w:w="4320"/>
          </w:tcPr>
          <w:p>
            <w:r/>
            <w:r>
              <w:rPr>
                <w:sz w:val="19"/>
              </w:rPr>
              <w:t>Isolated processes with time limits; compile once per run; stdin/argv delivery</w:t>
            </w:r>
          </w:p>
        </w:tc>
        <w:tc>
          <w:tcPr>
            <w:tcW w:type="dxa" w:w="2808"/>
          </w:tcPr>
          <w:p>
            <w:r/>
            <w:r>
              <w:rPr>
                <w:sz w:val="19"/>
              </w:rPr>
              <w:t>src/core/test_runner.py, src/core/multi_language_runner.py, src/languages/*/adapter.py</w:t>
            </w:r>
          </w:p>
        </w:tc>
      </w:tr>
      <w:tr>
        <w:tc>
          <w:tcPr>
            <w:tcW w:type="dxa" w:w="2232"/>
          </w:tcPr>
          <w:p>
            <w:r/>
            <w:r>
              <w:rPr>
                <w:sz w:val="19"/>
              </w:rPr>
              <w:t>Evaluation</w:t>
            </w:r>
          </w:p>
        </w:tc>
        <w:tc>
          <w:tcPr>
            <w:tcW w:type="dxa" w:w="4320"/>
          </w:tcPr>
          <w:p>
            <w:r/>
            <w:r>
              <w:rPr>
                <w:sz w:val="19"/>
              </w:rPr>
              <w:t>Random baseline, boundary mutation testing, 15-program benchmark, statistics</w:t>
            </w:r>
          </w:p>
        </w:tc>
        <w:tc>
          <w:tcPr>
            <w:tcW w:type="dxa" w:w="2808"/>
          </w:tcPr>
          <w:p>
            <w:r/>
            <w:r>
              <w:rPr>
                <w:sz w:val="19"/>
              </w:rPr>
              <w:t>src/evaluation/, benchmarks/, docs/evaluation/</w:t>
            </w:r>
          </w:p>
        </w:tc>
      </w:tr>
      <w:tr>
        <w:tc>
          <w:tcPr>
            <w:tcW w:type="dxa" w:w="2232"/>
          </w:tcPr>
          <w:p>
            <w:r/>
            <w:r>
              <w:rPr>
                <w:sz w:val="19"/>
              </w:rPr>
              <w:t>Web interface and API</w:t>
            </w:r>
          </w:p>
        </w:tc>
        <w:tc>
          <w:tcPr>
            <w:tcW w:type="dxa" w:w="4320"/>
          </w:tcPr>
          <w:p>
            <w:r/>
            <w:r>
              <w:rPr>
                <w:sz w:val="19"/>
              </w:rPr>
              <w:t>React interface (editor, results, coverage, light/dark themes); FastAPI service</w:t>
            </w:r>
          </w:p>
        </w:tc>
        <w:tc>
          <w:tcPr>
            <w:tcW w:type="dxa" w:w="2808"/>
          </w:tcPr>
          <w:p>
            <w:r/>
            <w:r>
              <w:rPr>
                <w:sz w:val="19"/>
              </w:rPr>
              <w:t>frontend/src/, api.py</w:t>
            </w:r>
          </w:p>
        </w:tc>
      </w:tr>
      <w:tr>
        <w:tc>
          <w:tcPr>
            <w:tcW w:type="dxa" w:w="2232"/>
          </w:tcPr>
          <w:p>
            <w:r/>
            <w:r>
              <w:rPr>
                <w:sz w:val="19"/>
              </w:rPr>
              <w:t>Deployment</w:t>
            </w:r>
          </w:p>
        </w:tc>
        <w:tc>
          <w:tcPr>
            <w:tcW w:type="dxa" w:w="4320"/>
          </w:tcPr>
          <w:p>
            <w:r/>
            <w:r>
              <w:rPr>
                <w:sz w:val="19"/>
              </w:rPr>
              <w:t>Docker image with GCC and a JDK; Render deployment; request size limits</w:t>
            </w:r>
          </w:p>
        </w:tc>
        <w:tc>
          <w:tcPr>
            <w:tcW w:type="dxa" w:w="2808"/>
          </w:tcPr>
          <w:p>
            <w:r/>
            <w:r>
              <w:rPr>
                <w:sz w:val="19"/>
              </w:rPr>
              <w:t>Dockerfile, render.yaml</w:t>
            </w:r>
          </w:p>
        </w:tc>
      </w:tr>
      <w:tr>
        <w:tc>
          <w:tcPr>
            <w:tcW w:type="dxa" w:w="2232"/>
          </w:tcPr>
          <w:p>
            <w:r/>
            <w:r>
              <w:rPr>
                <w:sz w:val="19"/>
              </w:rPr>
              <w:t>Quality</w:t>
            </w:r>
          </w:p>
        </w:tc>
        <w:tc>
          <w:tcPr>
            <w:tcW w:type="dxa" w:w="4320"/>
          </w:tcPr>
          <w:p>
            <w:r/>
            <w:r>
              <w:rPr>
                <w:sz w:val="19"/>
              </w:rPr>
              <w:t>252 automated tests, written test-first, checking real outputs instead of reported coverage</w:t>
            </w:r>
          </w:p>
        </w:tc>
        <w:tc>
          <w:tcPr>
            <w:tcW w:type="dxa" w:w="2808"/>
          </w:tcPr>
          <w:p>
            <w:r/>
            <w:r>
              <w:rPr>
                <w:sz w:val="19"/>
              </w:rPr>
              <w:t>tests/</w:t>
            </w:r>
          </w:p>
        </w:tc>
      </w:tr>
      <w:tr>
        <w:tc>
          <w:tcPr>
            <w:tcW w:type="dxa" w:w="2232"/>
          </w:tcPr>
          <w:p>
            <w:r/>
            <w:r>
              <w:rPr>
                <w:sz w:val="19"/>
              </w:rPr>
              <w:t>Research manuscript</w:t>
            </w:r>
          </w:p>
        </w:tc>
        <w:tc>
          <w:tcPr>
            <w:tcW w:type="dxa" w:w="4320"/>
          </w:tcPr>
          <w:p>
            <w:r/>
            <w:r>
              <w:rPr>
                <w:sz w:val="19"/>
              </w:rPr>
              <w:t>IEEE-style paper: approach, evaluation with four research questions, threats to validity</w:t>
            </w:r>
          </w:p>
        </w:tc>
        <w:tc>
          <w:tcPr>
            <w:tcW w:type="dxa" w:w="2808"/>
          </w:tcPr>
          <w:p>
            <w:r/>
            <w:r>
              <w:rPr>
                <w:sz w:val="19"/>
              </w:rPr>
              <w:t>docs/review3/</w:t>
            </w:r>
          </w:p>
        </w:tc>
      </w:tr>
    </w:tbl>
    <w:p>
      <w:pPr>
        <w:spacing w:after="40"/>
      </w:pPr>
    </w:p>
    <w:p>
      <w:pPr>
        <w:pStyle w:val="Heading1"/>
      </w:pPr>
      <w:r>
        <w:t>3. Timeline</w:t>
      </w:r>
    </w:p>
    <w:tbl>
      <w:tblPr>
        <w:tblStyle w:val="TableGrid"/>
        <w:tblW w:type="auto" w:w="0"/>
        <w:jc w:val="center"/>
        <w:tblLook w:firstColumn="1" w:firstRow="1" w:lastColumn="0" w:lastRow="0" w:noHBand="0" w:noVBand="1" w:val="04A0"/>
      </w:tblPr>
      <w:tblGrid>
        <w:gridCol w:w="4680"/>
        <w:gridCol w:w="4680"/>
      </w:tblGrid>
      <w:tr>
        <w:tc>
          <w:tcPr>
            <w:tcW w:type="dxa" w:w="1584"/>
            <w:shd w:val="clear" w:color="auto" w:fill="E6EBFF"/>
          </w:tcPr>
          <w:p>
            <w:r/>
            <w:r>
              <w:rPr>
                <w:b/>
                <w:sz w:val="21"/>
              </w:rPr>
              <w:t>Dates</w:t>
            </w:r>
          </w:p>
        </w:tc>
        <w:tc>
          <w:tcPr>
            <w:tcW w:type="dxa" w:w="7776"/>
            <w:shd w:val="clear" w:color="auto" w:fill="E6EBFF"/>
          </w:tcPr>
          <w:p>
            <w:r/>
            <w:r>
              <w:rPr>
                <w:b/>
                <w:sz w:val="21"/>
              </w:rPr>
              <w:t>Work</w:t>
            </w:r>
          </w:p>
        </w:tc>
      </w:tr>
      <w:tr>
        <w:tc>
          <w:tcPr>
            <w:tcW w:type="dxa" w:w="1584"/>
          </w:tcPr>
          <w:p>
            <w:r/>
            <w:r>
              <w:rPr>
                <w:sz w:val="21"/>
              </w:rPr>
              <w:t>6–7 Oct</w:t>
            </w:r>
          </w:p>
        </w:tc>
        <w:tc>
          <w:tcPr>
            <w:tcW w:type="dxa" w:w="7776"/>
          </w:tcPr>
          <w:p>
            <w:r/>
            <w:r>
              <w:rPr>
                <w:sz w:val="21"/>
              </w:rPr>
              <w:t>Project structure, Python AST parser, boundary value generator, source input</w:t>
            </w:r>
          </w:p>
        </w:tc>
      </w:tr>
      <w:tr>
        <w:tc>
          <w:tcPr>
            <w:tcW w:type="dxa" w:w="1584"/>
          </w:tcPr>
          <w:p>
            <w:r/>
            <w:r>
              <w:rPr>
                <w:sz w:val="21"/>
              </w:rPr>
              <w:t>16–21 Oct</w:t>
            </w:r>
          </w:p>
        </w:tc>
        <w:tc>
          <w:tcPr>
            <w:tcW w:type="dxa" w:w="7776"/>
          </w:tcPr>
          <w:p>
            <w:r/>
            <w:r>
              <w:rPr>
                <w:sz w:val="21"/>
              </w:rPr>
              <w:t>Targeted generation and execution, Tree-sitter parsing for Java and C, multi-language runner, branch coverage, invalid-input and fuzz testing</w:t>
            </w:r>
          </w:p>
        </w:tc>
      </w:tr>
      <w:tr>
        <w:tc>
          <w:tcPr>
            <w:tcW w:type="dxa" w:w="1584"/>
          </w:tcPr>
          <w:p>
            <w:r/>
            <w:r>
              <w:rPr>
                <w:sz w:val="21"/>
              </w:rPr>
              <w:t>23–26 Oct</w:t>
            </w:r>
          </w:p>
        </w:tc>
        <w:tc>
          <w:tcPr>
            <w:tcW w:type="dxa" w:w="7776"/>
          </w:tcPr>
          <w:p>
            <w:r/>
            <w:r>
              <w:rPr>
                <w:sz w:val="21"/>
              </w:rPr>
              <w:t>BranchLab web interface, while-loop coverage, process isolation and time limits, compile-once builds, verified suggestions, probe-based coverage for Java and C</w:t>
            </w:r>
          </w:p>
        </w:tc>
      </w:tr>
      <w:tr>
        <w:tc>
          <w:tcPr>
            <w:tcW w:type="dxa" w:w="1584"/>
          </w:tcPr>
          <w:p>
            <w:r/>
            <w:r>
              <w:rPr>
                <w:sz w:val="21"/>
              </w:rPr>
              <w:t>27 Oct</w:t>
            </w:r>
          </w:p>
        </w:tc>
        <w:tc>
          <w:tcPr>
            <w:tcW w:type="dxa" w:w="7776"/>
          </w:tcPr>
          <w:p>
            <w:r/>
            <w:r>
              <w:rPr>
                <w:sz w:val="21"/>
              </w:rPr>
              <w:t>Read map along each test's path, switch/match conditions, statement coverage, evaluation against random testing, Review II report and presentation</w:t>
            </w:r>
          </w:p>
        </w:tc>
      </w:tr>
      <w:tr>
        <w:tc>
          <w:tcPr>
            <w:tcW w:type="dxa" w:w="1584"/>
          </w:tcPr>
          <w:p>
            <w:r/>
            <w:r>
              <w:rPr>
                <w:sz w:val="21"/>
              </w:rPr>
              <w:t>28 Oct</w:t>
            </w:r>
          </w:p>
        </w:tc>
        <w:tc>
          <w:tcPr>
            <w:tcW w:type="dxa" w:w="7776"/>
          </w:tcPr>
          <w:p>
            <w:r/>
            <w:r>
              <w:rPr>
                <w:sz w:val="21"/>
              </w:rPr>
              <w:t>Docker deployment, six benchmark programs, statistical test, research manuscript, Review III material</w:t>
            </w:r>
          </w:p>
        </w:tc>
      </w:tr>
    </w:tbl>
    <w:p>
      <w:pPr>
        <w:spacing w:after="40"/>
      </w:pPr>
    </w:p>
    <w:p>
      <w:pPr>
        <w:pStyle w:val="Heading1"/>
      </w:pPr>
      <w:r>
        <w:t>4. Technical Problems I Solved</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color="auto" w:fill="E6EBFF"/>
          </w:tcPr>
          <w:p>
            <w:r/>
            <w:r>
              <w:rPr>
                <w:b/>
                <w:sz w:val="19"/>
              </w:rPr>
              <w:t>Problem</w:t>
            </w:r>
          </w:p>
        </w:tc>
        <w:tc>
          <w:tcPr>
            <w:tcW w:type="dxa" w:w="3096"/>
            <w:shd w:val="clear" w:color="auto" w:fill="E6EBFF"/>
          </w:tcPr>
          <w:p>
            <w:r/>
            <w:r>
              <w:rPr>
                <w:b/>
                <w:sz w:val="19"/>
              </w:rPr>
              <w:t>Cause</w:t>
            </w:r>
          </w:p>
        </w:tc>
        <w:tc>
          <w:tcPr>
            <w:tcW w:type="dxa" w:w="3096"/>
            <w:shd w:val="clear" w:color="auto" w:fill="E6EBFF"/>
          </w:tcPr>
          <w:p>
            <w:r/>
            <w:r>
              <w:rPr>
                <w:b/>
                <w:sz w:val="19"/>
              </w:rPr>
              <w:t>Fix</w:t>
            </w:r>
          </w:p>
        </w:tc>
      </w:tr>
      <w:tr>
        <w:tc>
          <w:tcPr>
            <w:tcW w:type="dxa" w:w="3168"/>
          </w:tcPr>
          <w:p>
            <w:r/>
            <w:r>
              <w:rPr>
                <w:sz w:val="19"/>
              </w:rPr>
              <w:t>Python input values went to the wrong variables</w:t>
            </w:r>
          </w:p>
        </w:tc>
        <w:tc>
          <w:tcPr>
            <w:tcW w:type="dxa" w:w="3096"/>
          </w:tcPr>
          <w:p>
            <w:r/>
            <w:r>
              <w:rPr>
                <w:sz w:val="19"/>
              </w:rPr>
              <w:t>Values fed in a fixed order, not the order of reads</w:t>
            </w:r>
          </w:p>
        </w:tc>
        <w:tc>
          <w:tcPr>
            <w:tcW w:type="dxa" w:w="3096"/>
          </w:tcPr>
          <w:p>
            <w:r/>
            <w:r>
              <w:rPr>
                <w:sz w:val="19"/>
              </w:rPr>
              <w:t>Read order taken from the AST</w:t>
            </w:r>
          </w:p>
        </w:tc>
      </w:tr>
      <w:tr>
        <w:tc>
          <w:tcPr>
            <w:tcW w:type="dxa" w:w="3168"/>
          </w:tcPr>
          <w:p>
            <w:r/>
            <w:r>
              <w:rPr>
                <w:sz w:val="19"/>
              </w:rPr>
              <w:t>Java programs hung until the timeout</w:t>
            </w:r>
          </w:p>
        </w:tc>
        <w:tc>
          <w:tcPr>
            <w:tcW w:type="dxa" w:w="3096"/>
          </w:tcPr>
          <w:p>
            <w:r/>
            <w:r>
              <w:rPr>
                <w:sz w:val="19"/>
              </w:rPr>
              <w:t>Scanner waited for input that was never sent</w:t>
            </w:r>
          </w:p>
        </w:tc>
        <w:tc>
          <w:tcPr>
            <w:tcW w:type="dxa" w:w="3096"/>
          </w:tcPr>
          <w:p>
            <w:r/>
            <w:r>
              <w:rPr>
                <w:sz w:val="19"/>
              </w:rPr>
              <w:t>Standard input always supplied</w:t>
            </w:r>
          </w:p>
        </w:tc>
      </w:tr>
      <w:tr>
        <w:tc>
          <w:tcPr>
            <w:tcW w:type="dxa" w:w="3168"/>
          </w:tcPr>
          <w:p>
            <w:r/>
            <w:r>
              <w:rPr>
                <w:sz w:val="19"/>
              </w:rPr>
              <w:t>C programs read uninitialised memory but were reported as executed</w:t>
            </w:r>
          </w:p>
        </w:tc>
        <w:tc>
          <w:tcPr>
            <w:tcW w:type="dxa" w:w="3096"/>
          </w:tcPr>
          <w:p>
            <w:r/>
            <w:r>
              <w:rPr>
                <w:sz w:val="19"/>
              </w:rPr>
              <w:t>scanf had no input</w:t>
            </w:r>
          </w:p>
        </w:tc>
        <w:tc>
          <w:tcPr>
            <w:tcW w:type="dxa" w:w="3096"/>
          </w:tcPr>
          <w:p>
            <w:r/>
            <w:r>
              <w:rPr>
                <w:sz w:val="19"/>
              </w:rPr>
              <w:t>Values delivered on stdin along each path</w:t>
            </w:r>
          </w:p>
        </w:tc>
      </w:tr>
      <w:tr>
        <w:tc>
          <w:tcPr>
            <w:tcW w:type="dxa" w:w="3168"/>
          </w:tcPr>
          <w:p>
            <w:r/>
            <w:r>
              <w:rPr>
                <w:sz w:val="19"/>
              </w:rPr>
              <w:t>Menu programs received values meant for other options</w:t>
            </w:r>
          </w:p>
        </w:tc>
        <w:tc>
          <w:tcPr>
            <w:tcW w:type="dxa" w:w="3096"/>
          </w:tcPr>
          <w:p>
            <w:r/>
            <w:r>
              <w:rPr>
                <w:sz w:val="19"/>
              </w:rPr>
              <w:t>Different branches read different variables</w:t>
            </w:r>
          </w:p>
        </w:tc>
        <w:tc>
          <w:tcPr>
            <w:tcW w:type="dxa" w:w="3096"/>
          </w:tcPr>
          <w:p>
            <w:r/>
            <w:r>
              <w:rPr>
                <w:sz w:val="19"/>
              </w:rPr>
              <w:t>Read map resolved per test, with typed placeholders</w:t>
            </w:r>
          </w:p>
        </w:tc>
      </w:tr>
      <w:tr>
        <w:tc>
          <w:tcPr>
            <w:tcW w:type="dxa" w:w="3168"/>
          </w:tcPr>
          <w:p>
            <w:r/>
            <w:r>
              <w:rPr>
                <w:sz w:val="19"/>
              </w:rPr>
              <w:t>Crash on a large switch statement</w:t>
            </w:r>
          </w:p>
        </w:tc>
        <w:tc>
          <w:tcPr>
            <w:tcW w:type="dxa" w:w="3096"/>
          </w:tcPr>
          <w:p>
            <w:r/>
            <w:r>
              <w:rPr>
                <w:sz w:val="19"/>
              </w:rPr>
              <w:t>Memory corruption in Tree-sitter 0.26.0</w:t>
            </w:r>
          </w:p>
        </w:tc>
        <w:tc>
          <w:tcPr>
            <w:tcW w:type="dxa" w:w="3096"/>
          </w:tcPr>
          <w:p>
            <w:r/>
            <w:r>
              <w:rPr>
                <w:sz w:val="19"/>
              </w:rPr>
              <w:t>Reproduced in isolation, pinned 0.25.2, added a regression test</w:t>
            </w:r>
          </w:p>
        </w:tc>
      </w:tr>
      <w:tr>
        <w:tc>
          <w:tcPr>
            <w:tcW w:type="dxa" w:w="3168"/>
          </w:tcPr>
          <w:p>
            <w:r/>
            <w:r>
              <w:rPr>
                <w:sz w:val="19"/>
              </w:rPr>
              <w:t>No coverage for C and Java</w:t>
            </w:r>
          </w:p>
        </w:tc>
        <w:tc>
          <w:tcPr>
            <w:tcW w:type="dxa" w:w="3096"/>
          </w:tcPr>
          <w:p>
            <w:r/>
            <w:r>
              <w:rPr>
                <w:sz w:val="19"/>
              </w:rPr>
              <w:t>Compiled code cannot be traced like Python</w:t>
            </w:r>
          </w:p>
        </w:tc>
        <w:tc>
          <w:tcPr>
            <w:tcW w:type="dxa" w:w="3096"/>
          </w:tcPr>
          <w:p>
            <w:r/>
            <w:r>
              <w:rPr>
                <w:sz w:val="19"/>
              </w:rPr>
              <w:t>Probes inserted before compiling; hits written immediately</w:t>
            </w:r>
          </w:p>
        </w:tc>
      </w:tr>
      <w:tr>
        <w:tc>
          <w:tcPr>
            <w:tcW w:type="dxa" w:w="3168"/>
          </w:tcPr>
          <w:p>
            <w:r/>
            <w:r>
              <w:rPr>
                <w:sz w:val="19"/>
              </w:rPr>
              <w:t>Slow Java and C runs</w:t>
            </w:r>
          </w:p>
        </w:tc>
        <w:tc>
          <w:tcPr>
            <w:tcW w:type="dxa" w:w="3096"/>
          </w:tcPr>
          <w:p>
            <w:r/>
            <w:r>
              <w:rPr>
                <w:sz w:val="19"/>
              </w:rPr>
              <w:t>Each test compiled the program again</w:t>
            </w:r>
          </w:p>
        </w:tc>
        <w:tc>
          <w:tcPr>
            <w:tcW w:type="dxa" w:w="3096"/>
          </w:tcPr>
          <w:p>
            <w:r/>
            <w:r>
              <w:rPr>
                <w:sz w:val="19"/>
              </w:rPr>
              <w:t>Compile once per run</w:t>
            </w:r>
          </w:p>
        </w:tc>
      </w:tr>
    </w:tbl>
    <w:p>
      <w:pPr>
        <w:spacing w:after="40"/>
      </w:pPr>
    </w:p>
    <w:p>
      <w:pPr>
        <w:pStyle w:val="Heading1"/>
      </w:pPr>
      <w:r>
        <w:t>5. Evidence</w:t>
      </w:r>
    </w:p>
    <w:p>
      <w:pPr>
        <w:pStyle w:val="ListBullet"/>
        <w:spacing w:after="40"/>
      </w:pPr>
      <w:r>
        <w:rPr>
          <w:b/>
        </w:rPr>
        <w:t>Version history:</w:t>
      </w:r>
      <w:r>
        <w:t xml:space="preserve"> 52 commits between 06 October 2026 and 28 October 2026, all under my name.</w:t>
      </w:r>
    </w:p>
    <w:p>
      <w:pPr>
        <w:pStyle w:val="ListBullet"/>
        <w:spacing w:after="40"/>
      </w:pPr>
      <w:r>
        <w:rPr>
          <w:b/>
        </w:rPr>
        <w:t>Code size:</w:t>
      </w:r>
      <w:r>
        <w:t xml:space="preserve"> 4,391 lines of Python in src/, 2,255 lines in the interface, 3,639 lines of tests.</w:t>
      </w:r>
    </w:p>
    <w:p>
      <w:pPr>
        <w:pStyle w:val="ListBullet"/>
        <w:spacing w:after="40"/>
      </w:pPr>
      <w:r>
        <w:rPr>
          <w:b/>
        </w:rPr>
        <w:t>Tests:</w:t>
      </w:r>
      <w:r>
        <w:t xml:space="preserve"> 252 automated tests passing (python -m pytest -q).</w:t>
      </w:r>
    </w:p>
    <w:p>
      <w:pPr>
        <w:pStyle w:val="ListBullet"/>
        <w:spacing w:after="40"/>
      </w:pPr>
      <w:r>
        <w:rPr>
          <w:b/>
        </w:rPr>
        <w:t>Reproducibility:</w:t>
      </w:r>
      <w:r>
        <w:t xml:space="preserve"> python -m src.evaluation.evaluate reproduces every result on 15 programs.</w:t>
      </w:r>
    </w:p>
    <w:p>
      <w:pPr>
        <w:pStyle w:val="ListBullet"/>
        <w:spacing w:after="40"/>
      </w:pPr>
      <w:r>
        <w:rPr>
          <w:b/>
        </w:rPr>
        <w:t>Working prototype:</w:t>
      </w:r>
      <w:r>
        <w:t xml:space="preserve"> https://branchlab-ggon.onrender.com runs the current version.</w:t>
      </w:r>
    </w:p>
    <w:p>
      <w:pPr>
        <w:pStyle w:val="Heading1"/>
      </w:pPr>
      <w:r>
        <w:t>6. Declaration</w:t>
      </w:r>
    </w:p>
    <w:p>
      <w:pPr>
        <w:keepNext/>
        <w:spacing w:after="480"/>
      </w:pPr>
      <w:r>
        <w:rPr>
          <w:b w:val="0"/>
          <w:i w:val="0"/>
        </w:rPr>
        <w:t>I declare that the work described in this statement is my own contribution to the project.</w:t>
      </w:r>
    </w:p>
    <w:p>
      <w:pPr>
        <w:keepNext/>
        <w:spacing w:after="40"/>
      </w:pPr>
      <w:r>
        <w:rPr>
          <w:b w:val="0"/>
          <w:i w:val="0"/>
        </w:rPr>
        <w:t>Signature: ______________________          Date: ______________</w:t>
      </w:r>
    </w:p>
    <w:p>
      <w:pPr>
        <w:spacing w:after="120"/>
      </w:pPr>
      <w:r>
        <w:rPr>
          <w:b w:val="0"/>
          <w:i w:val="0"/>
        </w:rPr>
        <w:t>Sneha Geevargis (24BCB0149)</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1F23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1F23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