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Docs PR Hashtag Helper</w:t>
      </w:r>
    </w:p>
    <w:p>
      <w:pPr>
        <w:pStyle w:val="Subtitle"/>
      </w:pPr>
      <w:r>
        <w:rPr>
          <w:b w:val="0"/>
        </w:rPr>
        <w:t>Hackathon project one-pager | Simpler Microsoft Learn PR automation for every contributor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769AA"/>
          <w:left w:val="single" w:sz="8" w:space="0" w:color="1769AA"/>
          <w:bottom w:val="single" w:sz="8" w:space="0" w:color="1769AA"/>
          <w:right w:val="single" w:sz="8" w:space="0" w:color="1769AA"/>
          <w:insideH w:val="single" w:sz="8" w:space="0" w:color="1769AA"/>
          <w:insideV w:val="single" w:sz="8" w:space="0" w:color="1769AA"/>
        </w:tblBorders>
      </w:tblPr>
      <w:tblGrid>
        <w:gridCol w:w="10454"/>
      </w:tblGrid>
      <w:tr>
        <w:tc>
          <w:tcPr>
            <w:tcW w:type="dxa" w:w="10454"/>
            <w:shd w:fill="EAF3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b/>
                <w:color w:val="1769AA"/>
                <w:sz w:val="16"/>
              </w:rPr>
              <w:t xml:space="preserve">GOAL  </w:t>
            </w:r>
            <w:r>
              <w:rPr>
                <w:b/>
                <w:color w:val="17365D"/>
                <w:sz w:val="20"/>
              </w:rPr>
              <w:t>Help writers, reviewers, engineers, vendors, and partners discover and use Microsoft Learn PR automation commands correctly without memorizing syntax or searching separate guidance.</w:t>
            </w:r>
          </w:p>
        </w:tc>
      </w:tr>
    </w:tbl>
    <w:p>
      <w:pPr>
        <w:pStyle w:val="Heading1"/>
        <w:keepNext/>
        <w:spacing w:before="110" w:after="30"/>
      </w:pPr>
      <w:r>
        <w:rPr>
          <w:b w:val="0"/>
        </w:rPr>
        <w:t>Problem</w:t>
      </w:r>
    </w:p>
    <w:p>
      <w:pPr>
        <w:spacing w:after="50"/>
      </w:pPr>
      <w:r>
        <w:rPr>
          <w:b w:val="0"/>
          <w:sz w:val="18"/>
        </w:rPr>
        <w:t>Microsoft Learn repositories use hashtag commands such as #sign-off, #hold-off, and #assign-reviewer to manage pull requests. These commands are useful, but contributors might not know which commands exist, what they do, which parameters they require, or whether a repository supports them.</w:t>
      </w:r>
    </w:p>
    <w:p>
      <w:pPr>
        <w:spacing w:after="50"/>
      </w:pPr>
      <w:r>
        <w:rPr>
          <w:b/>
          <w:color w:val="17365D"/>
          <w:sz w:val="18"/>
        </w:rPr>
        <w:t xml:space="preserve">Official command reference: </w:t>
      </w:r>
      <w:hyperlink r:id="rId11">
        <w:r>
          <w:rPr>
            <w:color w:val="1769AA"/>
            <w:u w:val="single"/>
            <w:sz w:val="18"/>
          </w:rPr>
          <w:t>PRMerger hashtag commands - Platform Manual | Microsoft Learn</w:t>
        </w:r>
      </w:hyperlink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Commands are easy to forget or mistype.</w:t>
      </w:r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Guidance is separated from the contributor's workflow.</w:t>
      </w:r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Incorrect commands can delay assignments, reviews, sign-off, and merges.</w:t>
      </w:r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Occasional contributors and external partners face the greatest learning barrier.</w:t>
      </w:r>
    </w:p>
    <w:p>
      <w:pPr>
        <w:pStyle w:val="Heading1"/>
        <w:keepNext/>
        <w:spacing w:before="110" w:after="30"/>
      </w:pPr>
      <w:r>
        <w:rPr>
          <w:b w:val="0"/>
        </w:rPr>
        <w:t>Audience</w:t>
      </w:r>
    </w:p>
    <w:p>
      <w:pPr>
        <w:spacing w:after="50"/>
      </w:pPr>
      <w:r>
        <w:rPr>
          <w:b w:val="0"/>
          <w:sz w:val="18"/>
        </w:rPr>
        <w:t>Anyone who contributes to Microsoft Learn documentation: writers, editors, reviewers, content PMs, engineers, vendors, community contributors, and partner teams. The solution should be broadly accessible, require little or no training, and avoid dependence on corporate-only access.</w:t>
      </w:r>
    </w:p>
    <w:p>
      <w:pPr>
        <w:pStyle w:val="Heading1"/>
        <w:keepNext/>
        <w:spacing w:before="110" w:after="30"/>
      </w:pPr>
      <w:r>
        <w:rPr>
          <w:b w:val="0"/>
        </w:rPr>
        <w:t>Top three solution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367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What it provides</w:t>
            </w:r>
          </w:p>
        </w:tc>
        <w:tc>
          <w:tcPr>
            <w:tcW w:type="dxa" w:w="2736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type="dxa" w:w="230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Trade-off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Web command finder and builder</w:t>
            </w:r>
          </w:p>
        </w:tc>
        <w:tc>
          <w:tcPr>
            <w:tcW w:type="dxa" w:w="36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A public page where users search by intent, review effects and requirements, enter parameters, and copy valid syntax.</w:t>
            </w:r>
          </w:p>
        </w:tc>
        <w:tc>
          <w:tcPr>
            <w:tcW w:type="dxa" w:w="27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Universal, no installation, works for internal and external contributors.</w:t>
            </w:r>
          </w:p>
        </w:tc>
        <w:tc>
          <w:tcPr>
            <w:tcW w:type="dxa" w:w="23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Requires opening another page unless linked from the workflow.</w:t>
            </w:r>
          </w:p>
        </w:tc>
      </w:tr>
      <w:tr>
        <w:tc>
          <w:tcPr>
            <w:tcW w:type="dxa" w:w="208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GitHub App or bot</w:t>
            </w:r>
          </w:p>
        </w:tc>
        <w:tc>
          <w:tcPr>
            <w:tcW w:type="dxa" w:w="367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In-PR help, command suggestions, and validation through comments or a lightweight command menu.</w:t>
            </w:r>
          </w:p>
        </w:tc>
        <w:tc>
          <w:tcPr>
            <w:tcW w:type="dxa" w:w="273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Centralized and available to everyone in enabled repositories.</w:t>
            </w:r>
          </w:p>
        </w:tc>
        <w:tc>
          <w:tcPr>
            <w:tcW w:type="dxa" w:w="230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Requires hosting, permissions, security review, and repository onboarding.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In-context autocomplete</w:t>
            </w:r>
          </w:p>
        </w:tc>
        <w:tc>
          <w:tcPr>
            <w:tcW w:type="dxa" w:w="36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Suggestions and explanations while typing in GitHub, delivered through a browser extension or future native integration.</w:t>
            </w:r>
          </w:p>
        </w:tc>
        <w:tc>
          <w:tcPr>
            <w:tcW w:type="dxa" w:w="27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Fastest daily experience and prevents syntax errors before submission.</w:t>
            </w:r>
          </w:p>
        </w:tc>
        <w:tc>
          <w:tcPr>
            <w:tcW w:type="dxa" w:w="23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Installation limits reach unless GitHub provides native support.</w:t>
            </w:r>
          </w:p>
        </w:tc>
      </w:tr>
    </w:tbl>
    <w:p>
      <w:pPr>
        <w:spacing w:after="50"/>
      </w:pPr>
    </w:p>
    <w:p>
      <w:pPr>
        <w:pStyle w:val="Heading1"/>
        <w:keepNext/>
        <w:spacing w:before="110" w:after="30"/>
      </w:pPr>
      <w:r>
        <w:rPr>
          <w:b/>
          <w:color w:val="17365D"/>
          <w:sz w:val="25"/>
        </w:rPr>
        <w:t>Priority enhancements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76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Enhancement</w:t>
            </w:r>
          </w:p>
        </w:tc>
        <w:tc>
          <w:tcPr>
            <w:tcW w:type="dxa" w:w="64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Refined behavior</w:t>
            </w:r>
          </w:p>
        </w:tc>
        <w:tc>
          <w:tcPr>
            <w:tcW w:type="dxa" w:w="194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23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Repository eligibility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Activate command assistance only when PRMerger support is confirmed. Otherwise show a clear, nonblocking message: 'PRMerger commands aren't enabled for this repository.'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Must have</w:t>
            </w:r>
          </w:p>
        </w:tc>
      </w:tr>
      <w:tr>
        <w:tc>
          <w:tcPr>
            <w:tcW w:type="dxa" w:w="23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Assignee lookup</w:t>
            </w:r>
          </w:p>
        </w:tc>
        <w:tc>
          <w:tcPr>
            <w:tcW w:type="dxa" w:w="648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For #assign:, #reassign:, and reviewer commands, search eligible GitHub users by display name or username. Insert the username in the exact syntax PRMerger requires, without forcing the user to type @.</w:t>
            </w:r>
          </w:p>
        </w:tc>
        <w:tc>
          <w:tcPr>
            <w:tcW w:type="dxa" w:w="194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Must have</w:t>
            </w:r>
          </w:p>
        </w:tc>
      </w:tr>
      <w:tr>
        <w:tc>
          <w:tcPr>
            <w:tcW w:type="dxa" w:w="23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Command validation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Detect unsupported commands before submission and explain whether the command is unavailable, misspelled, or unsupported by the current repository. Link to the official command reference.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Must have</w:t>
            </w:r>
          </w:p>
        </w:tc>
      </w:tr>
      <w:tr>
        <w:tc>
          <w:tcPr>
            <w:tcW w:type="dxa" w:w="23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Discoverability without #</w:t>
            </w:r>
          </w:p>
        </w:tc>
        <w:tc>
          <w:tcPr>
            <w:tcW w:type="dxa" w:w="648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Provide an explicit 'PR commands' entry point near the comment composer so users can browse actions without knowing the # trigger. Keep # autocomplete as a fast path for experienced users.</w:t>
            </w:r>
          </w:p>
        </w:tc>
        <w:tc>
          <w:tcPr>
            <w:tcW w:type="dxa" w:w="194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Must have</w:t>
            </w:r>
          </w:p>
        </w:tc>
      </w:tr>
      <w:tr>
        <w:tc>
          <w:tcPr>
            <w:tcW w:type="dxa" w:w="23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Contextual sign-off action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Show a Sign off action near the PR status area when the PR is eligible. After sign-off, change the action to Hold off and reflect the current state to avoid duplicate or contradictory commands.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Prototype</w:t>
            </w:r>
          </w:p>
        </w:tc>
      </w:tr>
      <w:tr>
        <w:tc>
          <w:tcPr>
            <w:tcW w:type="dxa" w:w="2376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Complete command palette</w:t>
            </w:r>
          </w:p>
        </w:tc>
        <w:tc>
          <w:tcPr>
            <w:tcW w:type="dxa" w:w="648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Offer the full supported PRMerger command set in a searchable action menu. Slash-style discovery can be tested, but generated output must use the official hashtag syntax.</w:t>
            </w:r>
          </w:p>
        </w:tc>
        <w:tc>
          <w:tcPr>
            <w:tcW w:type="dxa" w:w="1944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Should have</w:t>
            </w:r>
          </w:p>
        </w:tc>
      </w:tr>
      <w:tr>
        <w:tc>
          <w:tcPr>
            <w:tcW w:type="dxa" w:w="23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Blocked-state guidance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When GitHub shows 'Merging is blocked,' surface Sign off only when missing sign-off is the cause and the user is eligible. Otherwise explain the actual blocker instead of offering an ineffective action.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4"/>
              </w:rPr>
              <w:t>Prototype</w:t>
            </w:r>
          </w:p>
        </w:tc>
      </w:tr>
    </w:tbl>
    <w:p>
      <w:pPr>
        <w:spacing w:after="50"/>
      </w:pPr>
    </w:p>
    <w:p>
      <w:pPr>
        <w:pStyle w:val="Heading1"/>
        <w:keepNext/>
        <w:spacing w:before="110" w:after="30"/>
      </w:pPr>
      <w:r>
        <w:rPr>
          <w:b w:val="0"/>
        </w:rPr>
        <w:t>Recommended hackathon approach</w:t>
      </w:r>
    </w:p>
    <w:p>
      <w:pPr>
        <w:spacing w:after="50"/>
      </w:pPr>
      <w:r>
        <w:rPr>
          <w:b w:val="0"/>
          <w:sz w:val="18"/>
        </w:rPr>
        <w:t>Build a shared command catalog containing each command's intent, syntax, parameters, effect, permissions, repository availability, example, and guidance link. Use that catalog to create a simple web command builder as the broadly accessible prototype, then compare it with the existing in-context autocomplete experience. Create a short GitHub bot storyboard or technical proof of concept to assess the centralized option.</w:t>
      </w:r>
    </w:p>
    <w:p>
      <w:pPr>
        <w:spacing w:after="50"/>
      </w:pPr>
      <w:r>
        <w:rPr>
          <w:b/>
          <w:color w:val="17365D"/>
          <w:sz w:val="18"/>
        </w:rPr>
        <w:t>Decision:</w:t>
      </w:r>
      <w:r>
        <w:rPr>
          <w:b w:val="0"/>
          <w:sz w:val="18"/>
        </w:rPr>
        <w:t xml:space="preserve"> Select the post-hackathon direction using contributor testing, reach, adoption effort, correctness, security, accessibility, and maintenance cost rather than committing to a channel in advance.</w:t>
      </w:r>
    </w:p>
    <w:p>
      <w:pPr>
        <w:pStyle w:val="Heading1"/>
        <w:keepNext/>
        <w:spacing w:before="110" w:after="30"/>
      </w:pPr>
      <w:r>
        <w:rPr>
          <w:b w:val="0"/>
        </w:rPr>
        <w:t>Two-person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540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Partner 1: Build</w:t>
            </w:r>
          </w:p>
        </w:tc>
        <w:tc>
          <w:tcPr>
            <w:tcW w:type="dxa" w:w="540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Partner 2: Validate</w:t>
            </w:r>
          </w:p>
        </w:tc>
      </w:tr>
      <w:tr>
        <w:tc>
          <w:tcPr>
            <w:tcW w:type="dxa" w:w="540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Define the shared command catalog.</w:t>
            </w:r>
          </w:p>
        </w:tc>
        <w:tc>
          <w:tcPr>
            <w:tcW w:type="dxa" w:w="540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Interview contributors across roles and affiliations.</w:t>
            </w:r>
          </w:p>
        </w:tc>
      </w:tr>
      <w:tr>
        <w:tc>
          <w:tcPr>
            <w:tcW w:type="dxa" w:w="540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Build the web command-builder prototype.</w:t>
            </w:r>
          </w:p>
        </w:tc>
        <w:tc>
          <w:tcPr>
            <w:tcW w:type="dxa" w:w="540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Verify command guidance and design clear descriptions.</w:t>
            </w:r>
          </w:p>
        </w:tc>
      </w:tr>
      <w:tr>
        <w:tc>
          <w:tcPr>
            <w:tcW w:type="dxa" w:w="540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Connect the existing autocomplete prototype to the catalog.</w:t>
            </w:r>
          </w:p>
        </w:tc>
        <w:tc>
          <w:tcPr>
            <w:tcW w:type="dxa" w:w="540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Run the same usability tasks across the prototypes.</w:t>
            </w:r>
          </w:p>
        </w:tc>
      </w:tr>
      <w:tr>
        <w:tc>
          <w:tcPr>
            <w:tcW w:type="dxa" w:w="540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Assess the GitHub bot/App architecture.</w:t>
            </w:r>
          </w:p>
        </w:tc>
        <w:tc>
          <w:tcPr>
            <w:tcW w:type="dxa" w:w="540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Score options and prepare the recommendation and demo.</w:t>
            </w:r>
          </w:p>
        </w:tc>
      </w:tr>
    </w:tbl>
    <w:p>
      <w:pPr>
        <w:spacing w:after="50"/>
      </w:pPr>
    </w:p>
    <w:p>
      <w:pPr>
        <w:pStyle w:val="Heading1"/>
        <w:keepNext/>
        <w:spacing w:before="110" w:after="30"/>
      </w:pPr>
      <w:r>
        <w:rPr>
          <w:b w:val="0"/>
        </w:rPr>
        <w:t>Four-day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72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088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799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Understand</w:t>
            </w:r>
          </w:p>
        </w:tc>
        <w:tc>
          <w:tcPr>
            <w:tcW w:type="dxa" w:w="79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Interview 5-8 contributors; confirm pain points and selection criteria.</w:t>
            </w:r>
          </w:p>
        </w:tc>
      </w:tr>
      <w:tr>
        <w:tc>
          <w:tcPr>
            <w:tcW w:type="dxa" w:w="72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8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Build</w:t>
            </w:r>
          </w:p>
        </w:tc>
        <w:tc>
          <w:tcPr>
            <w:tcW w:type="dxa" w:w="799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Create the command catalog and web builder; align the autocomplete prototype.</w:t>
            </w:r>
          </w:p>
        </w:tc>
      </w:tr>
      <w:t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79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Compare task completion, accuracy, comprehension, accessibility, and adoption friction.</w:t>
            </w:r>
          </w:p>
        </w:tc>
      </w:tr>
      <w:tr>
        <w:tc>
          <w:tcPr>
            <w:tcW w:type="dxa" w:w="720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08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Decide</w:t>
            </w:r>
          </w:p>
        </w:tc>
        <w:tc>
          <w:tcPr>
            <w:tcW w:type="dxa" w:w="799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5"/>
              </w:rPr>
              <w:t>Present prototypes, evidence, option scorecard, and recommended roadmap.</w:t>
            </w:r>
          </w:p>
        </w:tc>
      </w:tr>
    </w:tbl>
    <w:p>
      <w:pPr>
        <w:spacing w:after="50"/>
      </w:pPr>
    </w:p>
    <w:p>
      <w:pPr>
        <w:pStyle w:val="Heading1"/>
        <w:keepNext/>
        <w:spacing w:before="110" w:after="30"/>
      </w:pPr>
      <w:r>
        <w:rPr>
          <w:b w:val="0"/>
        </w:rPr>
        <w:t>Success measures</w:t>
      </w:r>
    </w:p>
    <w:p>
      <w:pPr>
        <w:pStyle w:val="ListBullet"/>
        <w:spacing w:after="10"/>
        <w:ind w:left="331" w:hanging="173"/>
      </w:pPr>
      <w:r>
        <w:rPr>
          <w:rFonts w:ascii="Aptos" w:hAnsi="Aptos"/>
          <w:sz w:val="17"/>
        </w:rPr>
        <w:t>At least 80% of participants discover and generate the correct command without separate training or knowing the # trigger.</w:t>
      </w:r>
    </w:p>
    <w:p>
      <w:pPr>
        <w:pStyle w:val="ListBullet"/>
        <w:spacing w:after="10"/>
        <w:ind w:left="331" w:hanging="173"/>
      </w:pPr>
      <w:r>
        <w:rPr>
          <w:rFonts w:ascii="Aptos" w:hAnsi="Aptos"/>
          <w:sz w:val="17"/>
        </w:rPr>
        <w:t>No malformed or repository-unsupported command is submitted in core test scenarios.</w:t>
      </w:r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Participants can explain a command's effect before using it.</w:t>
      </w:r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Testing includes at least four contributor roles and one vendor, partner, or community contributor.</w:t>
      </w:r>
    </w:p>
    <w:p>
      <w:pPr>
        <w:pStyle w:val="ListBullet"/>
        <w:spacing w:after="10"/>
        <w:ind w:left="331" w:hanging="173"/>
      </w:pPr>
      <w:r>
        <w:rPr>
          <w:b w:val="0"/>
          <w:sz w:val="17"/>
        </w:rPr>
        <w:t>The universal experience works without installation or corporate-only access.</w:t>
      </w:r>
    </w:p>
    <w:p>
      <w:pPr>
        <w:pStyle w:val="Heading1"/>
        <w:keepNext/>
        <w:spacing w:before="110" w:after="30"/>
      </w:pPr>
      <w:r>
        <w:rPr>
          <w:b w:val="0"/>
        </w:rPr>
        <w:t>Key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3888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69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8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Command information becomes outdated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Maintain one versioned catalog with a clear owner and authoritative source links.</w:t>
            </w:r>
          </w:p>
        </w:tc>
      </w:tr>
      <w:tr>
        <w:tc>
          <w:tcPr>
            <w:tcW w:type="dxa" w:w="3888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The selected channel excludes some contributors</w:t>
            </w:r>
          </w:p>
        </w:tc>
        <w:tc>
          <w:tcPr>
            <w:tcW w:type="dxa" w:w="6912"/>
            <w:shd w:fill="F3F5F7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Require a public, no-install fallback regardless of the primary experience.</w:t>
            </w:r>
          </w:p>
        </w:tc>
      </w:tr>
      <w:tr>
        <w:tc>
          <w:tcPr>
            <w:tcW w:type="dxa" w:w="38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The team tries to build all three options fully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sz w:val="16"/>
              </w:rPr>
              <w:t>Build two testable prototypes and one lightweight proof of concept; invest after testing.</w:t>
            </w:r>
          </w:p>
        </w:tc>
      </w:tr>
    </w:tbl>
    <w:p>
      <w:pPr>
        <w:spacing w:after="5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67085"/>
        <w:sz w:val="15"/>
      </w:rPr>
      <w:t xml:space="preserve">Docs PR Hashtag Helper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5"/>
      </w:rPr>
      <w:t>HACKATHON PROJECT PLAN  | 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help/platform/prmerger-hashtag-comm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 PR Hashtag Helper - Hackathon One-Pager</dc:title>
  <dc:subject>Concise hackathon plan, top solution options, and prioritized enhancements</dc:subject>
  <dc:creator>Docs PR Hashtag Helper team</dc:creator>
  <cp:keywords>Microsoft Learn, GitHub, PR automation, contributor experience,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