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Executive Summary</w:t>
      </w:r>
    </w:p>
    <w:p>
      <w:pPr>
        <w:spacing w:after="60"/>
      </w:pPr>
      <w:r>
        <w:rPr>
          <w:i/>
          <w:iCs/>
          <w:color w:val="555555"/>
          <w:sz w:val="24"/>
          <w:szCs w:val="24"/>
        </w:rPr>
        <w:t xml:space="preserve">Comeback Momentum, Chart Re-Entry, and Fandom Intensity Analysis of South Korea's Top 50 Playlist</w:t>
      </w:r>
    </w:p>
    <w:p>
      <w:pPr>
        <w:spacing w:after="400"/>
      </w:pPr>
      <w:r>
        <w:rPr>
          <w:color w:val="777777"/>
          <w:sz w:val="20"/>
          <w:szCs w:val="20"/>
        </w:rPr>
        <w:t xml:space="preserve">Prepared for: Atlantic Recording Corporation | Government / Cultural Policy Stakeholders</w:t>
      </w:r>
    </w:p>
    <w:p>
      <w:pPr>
        <w:pStyle w:val="Heading1"/>
        <w:spacing w:after="150" w:before="300"/>
      </w:pPr>
      <w:r>
        <w:t xml:space="preserve">Purpose</w:t>
      </w:r>
    </w:p>
    <w:p>
      <w:pPr>
        <w:spacing w:after="120"/>
      </w:pPr>
      <w:r>
        <w:t xml:space="preserve">South Korea's music industry (K-Pop) operates on a distinct economic model driven by fandom mobilization rather than gradual organic growth. This study analyzed two years of daily Top 50 streaming chart data (554 daily snapshots, 27,700 records, 541 unique songs) to quantify this behavior and its implications for cultural-industry policy, export strategy, and platform regulation discussions.</w:t>
      </w:r>
    </w:p>
    <w:p>
      <w:pPr>
        <w:pStyle w:val="Heading1"/>
        <w:spacing w:after="150" w:before="300"/>
      </w:pPr>
      <w:r>
        <w:t xml:space="preserve">Key Findings</w:t>
      </w:r>
    </w:p>
    <w:p>
      <w:pPr>
        <w:pStyle w:val="ListParagraph"/>
        <w:numPr>
          <w:ilvl w:val="0"/>
          <w:numId w:val="1"/>
        </w:numPr>
        <w:spacing w:after="80"/>
      </w:pPr>
      <w:r>
        <w:t xml:space="preserve">Repeated chart re-entry is the norm, not the exception: 67.7% of songs analyzed re-entered the Top 50 at least once after exiting, some as many as 49 times over the study period.</w:t>
      </w:r>
    </w:p>
    <w:p>
      <w:pPr>
        <w:pStyle w:val="ListParagraph"/>
        <w:numPr>
          <w:ilvl w:val="0"/>
          <w:numId w:val="1"/>
        </w:numPr>
        <w:spacing w:after="80"/>
      </w:pPr>
      <w:r>
        <w:t xml:space="preserve">Fandom-driven re-entry is measurably different from organic popularity: first-time chart entries show ~39% higher momentum intensity and ~40% longer post-peak retention than re-entries, indicating two distinct engagement mechanisms at play in the same market.</w:t>
      </w:r>
    </w:p>
    <w:p>
      <w:pPr>
        <w:pStyle w:val="ListParagraph"/>
        <w:numPr>
          <w:ilvl w:val="0"/>
          <w:numId w:val="1"/>
        </w:numPr>
        <w:spacing w:after="80"/>
      </w:pPr>
      <w:r>
        <w:t xml:space="preserve">Re-entry behavior clusters around specific domestic and diaspora fanbases: acts such as NewJeans and Lim Young Woong show disproportionately high and sustained re-entry activity relative to the rest of the market, suggesting concentrated, highly organized fan-streaming coordination.</w:t>
      </w:r>
    </w:p>
    <w:p>
      <w:pPr>
        <w:pStyle w:val="ListParagraph"/>
        <w:numPr>
          <w:ilvl w:val="0"/>
          <w:numId w:val="1"/>
        </w:numPr>
        <w:spacing w:after="80"/>
      </w:pPr>
      <w:r>
        <w:t xml:space="preserve">Content characteristics (single vs. album release, track duration, explicit content) show no statistically significant effect on comeback momentum, indicating that engagement is driven by fan coordination and event timing rather than the recording itself.</w:t>
      </w:r>
    </w:p>
    <w:p>
      <w:pPr>
        <w:pStyle w:val="Heading1"/>
        <w:spacing w:after="150" w:before="300"/>
      </w:pPr>
      <w:r>
        <w:t xml:space="preserve">Why This Matters for Policy and Industry Stakeholders</w:t>
      </w:r>
    </w:p>
    <w:p>
      <w:pPr>
        <w:pStyle w:val="ListParagraph"/>
        <w:numPr>
          <w:ilvl w:val="0"/>
          <w:numId w:val="1"/>
        </w:numPr>
        <w:spacing w:after="80"/>
      </w:pPr>
      <w:r>
        <w:t xml:space="preserve">Cultural export metrics: Standard chart-longevity measures (common in Western markets) understate the true scale of engagement in K-Pop, since a large share of activity comes from short, intense, repeated bursts rather than sustained single runs.</w:t>
      </w:r>
    </w:p>
    <w:p>
      <w:pPr>
        <w:pStyle w:val="ListParagraph"/>
        <w:numPr>
          <w:ilvl w:val="0"/>
          <w:numId w:val="1"/>
        </w:numPr>
        <w:spacing w:after="80"/>
      </w:pPr>
      <w:r>
        <w:t xml:space="preserve">Platform and streaming-fairness considerations: highly concentrated, fan-coordinated streaming activity (re-entry spikes) is a structural feature of this market and should be accounted for when evaluating streaming-platform algorithms, chart methodologies, or royalty distribution models relevant to Korean content.</w:t>
      </w:r>
    </w:p>
    <w:p>
      <w:pPr>
        <w:pStyle w:val="ListParagraph"/>
        <w:numPr>
          <w:ilvl w:val="0"/>
          <w:numId w:val="1"/>
        </w:numPr>
        <w:spacing w:after="80"/>
      </w:pPr>
      <w:r>
        <w:t xml:space="preserve">Industry investment signal: the Fandom Intensity Proxy Score developed in this study offers a reusable, comparable metric for identifying which artists or catalogs carry durable fan engagement — relevant to licensing, catalog valuation, and cross-border promotion decisions.</w:t>
      </w:r>
    </w:p>
    <w:p>
      <w:pPr>
        <w:pStyle w:val="Heading1"/>
        <w:spacing w:after="150" w:before="300"/>
      </w:pPr>
      <w:r>
        <w:t xml:space="preserve">Headline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C3E50" w:val="clear"/>
          </w:tcPr>
          <w:p>
            <w:r>
              <w:rPr>
                <w:b/>
                <w:bCs/>
                <w:color w:val="FFFFFF"/>
              </w:rPr>
              <w:t xml:space="preserve">Metric</w:t>
            </w:r>
          </w:p>
        </w:tc>
        <w:tc>
          <w:tcPr>
            <w:tcW w:type="dxa" w:w="4680"/>
            <w:shd w:fill="2C3E50" w:val="clear"/>
          </w:tcPr>
          <w:p>
            <w:r>
              <w:rPr>
                <w:b/>
                <w:bCs/>
                <w:color w:val="FFFFFF"/>
              </w:rPr>
              <w:t xml:space="preserve">Value</w:t>
            </w:r>
          </w:p>
        </w:tc>
      </w:tr>
      <w:tr>
        <w:tc>
          <w:tcPr>
            <w:tcW w:type="dxa" w:w="4680"/>
          </w:tcPr>
          <w:p>
            <w:r>
              <w:t xml:space="preserve">Analysis period</w:t>
            </w:r>
          </w:p>
        </w:tc>
        <w:tc>
          <w:tcPr>
            <w:tcW w:type="dxa" w:w="4680"/>
          </w:tcPr>
          <w:p>
            <w:r>
              <w:t xml:space="preserve">6 Jan 2024 – 11 Dec 2025 (554 days)</w:t>
            </w:r>
          </w:p>
        </w:tc>
      </w:tr>
      <w:tr>
        <w:tc>
          <w:tcPr>
            <w:tcW w:type="dxa" w:w="4680"/>
          </w:tcPr>
          <w:p>
            <w:r>
              <w:t xml:space="preserve">Unique songs analyzed</w:t>
            </w:r>
          </w:p>
        </w:tc>
        <w:tc>
          <w:tcPr>
            <w:tcW w:type="dxa" w:w="4680"/>
          </w:tcPr>
          <w:p>
            <w:r>
              <w:t xml:space="preserve">541</w:t>
            </w:r>
          </w:p>
        </w:tc>
      </w:tr>
      <w:tr>
        <w:tc>
          <w:tcPr>
            <w:tcW w:type="dxa" w:w="4680"/>
          </w:tcPr>
          <w:p>
            <w:r>
              <w:t xml:space="preserve">Songs with at least one re-entry</w:t>
            </w:r>
          </w:p>
        </w:tc>
        <w:tc>
          <w:tcPr>
            <w:tcW w:type="dxa" w:w="4680"/>
          </w:tcPr>
          <w:p>
            <w:r>
              <w:t xml:space="preserve">366 (67.7%)</w:t>
            </w:r>
          </w:p>
        </w:tc>
      </w:tr>
      <w:tr>
        <w:tc>
          <w:tcPr>
            <w:tcW w:type="dxa" w:w="4680"/>
          </w:tcPr>
          <w:p>
            <w:r>
              <w:t xml:space="preserve">Highest re-entry count (single song)</w:t>
            </w:r>
          </w:p>
        </w:tc>
        <w:tc>
          <w:tcPr>
            <w:tcW w:type="dxa" w:w="4680"/>
          </w:tcPr>
          <w:p>
            <w:r>
              <w:t xml:space="preserve">49 ("Ditto" – NewJeans)</w:t>
            </w:r>
          </w:p>
        </w:tc>
      </w:tr>
      <w:tr>
        <w:tc>
          <w:tcPr>
            <w:tcW w:type="dxa" w:w="4680"/>
          </w:tcPr>
          <w:p>
            <w:r>
              <w:t xml:space="preserve">Avg. momentum: first entry vs re-entry</w:t>
            </w:r>
          </w:p>
        </w:tc>
        <w:tc>
          <w:tcPr>
            <w:tcW w:type="dxa" w:w="4680"/>
          </w:tcPr>
          <w:p>
            <w:r>
              <w:t xml:space="preserve">2.13 vs 1.53</w:t>
            </w:r>
          </w:p>
        </w:tc>
      </w:tr>
      <w:tr>
        <w:tc>
          <w:tcPr>
            <w:tcW w:type="dxa" w:w="4680"/>
          </w:tcPr>
          <w:p>
            <w:r>
              <w:t xml:space="preserve">Content attributes with significant momentum effect</w:t>
            </w:r>
          </w:p>
        </w:tc>
        <w:tc>
          <w:tcPr>
            <w:tcW w:type="dxa" w:w="4680"/>
          </w:tcPr>
          <w:p>
            <w:r>
              <w:t xml:space="preserve">None found</w:t>
            </w:r>
          </w:p>
        </w:tc>
      </w:tr>
    </w:tbl>
    <w:p>
      <w:pPr>
        <w:pStyle w:val="Heading1"/>
        <w:spacing w:after="150" w:before="300"/>
      </w:pPr>
      <w:r>
        <w:t xml:space="preserve">Recommendations</w:t>
      </w:r>
    </w:p>
    <w:p>
      <w:pPr>
        <w:pStyle w:val="ListParagraph"/>
        <w:numPr>
          <w:ilvl w:val="0"/>
          <w:numId w:val="1"/>
        </w:numPr>
        <w:spacing w:after="80"/>
      </w:pPr>
      <w:r>
        <w:t xml:space="preserve">Adopt re-entry frequency and the Fandom Intensity Proxy Score as supplementary metrics alongside traditional chart-longevity measures when assessing the cultural and economic footprint of Korean music exports.</w:t>
      </w:r>
    </w:p>
    <w:p>
      <w:pPr>
        <w:pStyle w:val="ListParagraph"/>
        <w:numPr>
          <w:ilvl w:val="0"/>
          <w:numId w:val="1"/>
        </w:numPr>
        <w:spacing w:after="80"/>
      </w:pPr>
      <w:r>
        <w:t xml:space="preserve">Encourage transparency from streaming platforms regarding how repeated, fan-coordinated streaming bursts are weighted in public chart rankings, given their outsized role in this market.</w:t>
      </w:r>
    </w:p>
    <w:p>
      <w:pPr>
        <w:pStyle w:val="ListParagraph"/>
        <w:numPr>
          <w:ilvl w:val="0"/>
          <w:numId w:val="1"/>
        </w:numPr>
        <w:spacing w:after="80"/>
      </w:pPr>
      <w:r>
        <w:t xml:space="preserve">Support continued data collection at daily granularity; the January–April 2024 gap in this dataset (partial-month sampling) limited early-period analysis and should be avoided in future monitoring.</w:t>
      </w:r>
    </w:p>
    <w:p>
      <w:pPr>
        <w:pStyle w:val="Heading1"/>
        <w:spacing w:after="150" w:before="300"/>
      </w:pPr>
      <w:r>
        <w:t xml:space="preserve">Deliverables Provided</w:t>
      </w:r>
    </w:p>
    <w:p>
      <w:pPr>
        <w:pStyle w:val="ListParagraph"/>
        <w:numPr>
          <w:ilvl w:val="0"/>
          <w:numId w:val="1"/>
        </w:numPr>
        <w:spacing w:after="80"/>
      </w:pPr>
      <w:r>
        <w:t xml:space="preserve">Full research paper with methodology, exploratory data analysis, and detailed findings</w:t>
      </w:r>
    </w:p>
    <w:p>
      <w:pPr>
        <w:pStyle w:val="ListParagraph"/>
        <w:numPr>
          <w:ilvl w:val="0"/>
          <w:numId w:val="1"/>
        </w:numPr>
        <w:spacing w:after="80"/>
      </w:pPr>
      <w:r>
        <w:t xml:space="preserve">Interactive Streamlit dashboard for live exploration of re-entry timelines, momentum spikes, and the fandom leaderboard</w:t>
      </w:r>
    </w:p>
    <w:p>
      <w:pPr>
        <w:pStyle w:val="ListParagraph"/>
        <w:numPr>
          <w:ilvl w:val="0"/>
          <w:numId w:val="1"/>
        </w:numPr>
        <w:spacing w:after="80"/>
      </w:pPr>
      <w:r>
        <w:t xml:space="preserve">This executive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2026-07-04T06:36:45.573Z</dcterms:created>
  <dcterms:modified xsi:type="dcterms:W3CDTF">2026-07-04T06:36:45.574Z</dcterms:modified>
</cp:coreProperties>
</file>

<file path=docProps/custom.xml><?xml version="1.0" encoding="utf-8"?>
<Properties xmlns="http://schemas.openxmlformats.org/officeDocument/2006/custom-properties" xmlns:vt="http://schemas.openxmlformats.org/officeDocument/2006/docPropsVTypes"/>
</file>