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Service and Resolution Policy</w:t>
      </w:r>
    </w:p>
    <w:p>
      <w:r>
        <w:t>POLICY ID: TOM-02   |   VERSION: 3.0   |   DATE: 28 OCT 2026   |   STATUS: PROPOSED — REQUIRES TOMATO APPROVAL</w:t>
      </w:r>
    </w:p>
    <w:p>
      <w:r>
        <w:t>Purpose: establish auditable operating rules for AI-assisted social media customer response. Fictional academic simulation; no policy is represented as live or legally approved.</w:t>
      </w:r>
    </w:p>
    <w:p>
      <w:pPr>
        <w:pStyle w:val="Heading1"/>
      </w:pPr>
      <w:r>
        <w:t>Policy authority and controls</w:t>
      </w:r>
    </w:p>
    <w:p>
      <w:r>
        <w:t>Higher-priority safety, applicable law, privacy and verified incident procedure supersede routine templates. AI may draft but must not autonomously publish, refund, modify accounts or make legal admissions. Case-specific claims require authenticated system evidence.</w:t>
      </w:r>
    </w:p>
    <w:p>
      <w:pPr>
        <w:pStyle w:val="Heading2"/>
      </w:pPr>
      <w:r>
        <w:t>CS-101 | Missing and incorrect items</w:t>
      </w:r>
    </w:p>
    <w:p>
      <w:pPr/>
      <w:r>
        <w:t>Rule: Collect order reference through authenticated channel, affected items, quantity and optional relevant photo. Verify order, delivery and merchant records. Partial-item issue does not automatically qualify for full-order refund. Do not make photos mandatory when inaccessible or unsafe.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SRC-03, SRC-04</w:t>
      </w:r>
    </w:p>
    <w:p>
      <w:pPr>
        <w:pStyle w:val="Heading2"/>
      </w:pPr>
      <w:r>
        <w:t>CS-102 | Non-delivery and delivery status</w:t>
      </w:r>
    </w:p>
    <w:p>
      <w:pPr/>
      <w:r>
        <w:t>Rule: Distinguish delayed, rider unable to locate, marked delivered but not received, wrong doorstep, and order returned. Verify live status before describing rider location or ETA. Do not publicly accuse customer or rider.</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SRC-03, SRC-04</w:t>
      </w:r>
    </w:p>
    <w:p>
      <w:pPr>
        <w:pStyle w:val="Heading2"/>
      </w:pPr>
      <w:r>
        <w:t>CS-103 | Refund and compensation decision</w:t>
      </w:r>
    </w:p>
    <w:p>
      <w:pPr/>
      <w:r>
        <w:t>Rule: AI may explain review process but must not approve, calculate, or promise refund/credit/redelivery without a verified entitlement and authorised transaction. Resolution type is determined by case evidence, policy, payment rail and authorised human or service. Never promise a bank posting date.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SRC-03, SRC-04</w:t>
      </w:r>
    </w:p>
    <w:p>
      <w:pPr>
        <w:pStyle w:val="Heading2"/>
      </w:pPr>
      <w:r>
        <w:t>CS-104 | Cancellation and payment</w:t>
      </w:r>
    </w:p>
    <w:p>
      <w:pPr/>
      <w:r>
        <w:t>Rule: Before promising cancellation or refund, verify preparation state, cancellation eligibility, payment capture/authorisation, duplicate charge and applicable offer terms. Distinguish failed payment authorisation from settled charge.</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SRC-03, SRC-04</w:t>
      </w:r>
    </w:p>
    <w:p>
      <w:pPr>
        <w:pStyle w:val="Heading2"/>
      </w:pPr>
      <w:r>
        <w:t>CS-105 | Disputed outcomes and accessibility</w:t>
      </w:r>
    </w:p>
    <w:p>
      <w:pPr/>
      <w:r>
        <w:t>Rule: Offer human review for disputed decisions, inaccessible photo requirements, repeat failures and vulnerable customers. Record rationale and evidence; do not imply that a denial is final if an appeal path exists.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SRC-03, SRC-04</w:t>
      </w:r>
    </w:p>
    <w:p>
      <w:pPr>
        <w:pStyle w:val="Heading2"/>
      </w:pPr>
      <w:r>
        <w:t>CS-106 | Abuse prevention</w:t>
      </w:r>
    </w:p>
    <w:p>
      <w:pPr/>
      <w:r>
        <w:t>Rule: Do not label claims fraudulent solely due to repeated complaints. Suspected manipulation goes to trained fraud reviewers; preserve procedural fairness and avoid sharing risk scoring.</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Customer Experience resolution lead</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P2 | Authority human_approval_for_remedy | Source benchmarks SRC-03, SRC-04</w:t>
      </w:r>
    </w:p>
    <w:p>
      <w:pPr>
        <w:pStyle w:val="Heading2"/>
      </w:pPr>
      <w:r>
        <w:t>CS-REF-01 | Refund decision and authorisation</w:t>
      </w:r>
    </w:p>
    <w:p>
      <w:pPr/>
      <w:r>
        <w:t>Rule: Refund eligibility must be determined from verified order facts, reason, transaction status, and approved compensation matrix. AI may never issue or promise a refund; a customer care agent may recommend a remedy, and the authorised payments workflow must confirm approval before communicating amount or timeline. For missing items, assess item-level value and applicable charges; for non-delivery, assess full-order remedy; for customer-requested cancellations, review preparation state and applicable terms. Do not impose arbitrary deadlines on safety complaints.</w:t>
      </w:r>
    </w:p>
    <w:p>
      <w:pPr/>
      <w:r>
        <w:t>Trigger: When the issue described by the title is present</w:t>
      </w:r>
    </w:p>
    <w:p>
      <w:pPr/>
      <w:r>
        <w:t>Mandatory action: Refund eligibility must be determined from verified order facts, reason, transaction status, and approved compensation matrix. AI may never issue or promise a refund; a customer care agent may recommend a remedy, and the authorised payments workflow must confirm approval before communicating amount or timeline. For missing items, assess item-level value and applicable charges; for non-delivery, assess full-order remedy; for customer-requested cancellations, review preparation state and applicable terms. Do not impose arbitrary deadlines on safety complaints.</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P2 | Authority draft_only | Source benchmarks SRC-01, SRC-03, SRC-05, SRC-07</w:t>
      </w:r>
    </w:p>
    <w:p>
      <w:pPr>
        <w:pStyle w:val="Heading2"/>
      </w:pPr>
      <w:r>
        <w:t>CS-PAY-02 | Duplicate debit and pending payment</w:t>
      </w:r>
    </w:p>
    <w:p>
      <w:pPr/>
      <w:r>
        <w:t>Rule: Check payment gateway status, order ledger, reversal status, and bank reference through authenticated tools. A pending authorisation is not necessarily a settled charge. Never promise immediate reversal or request full card credentials, CVV, PIN, UPI PIN or OTP. Escalate mismatched settled debits to payments team.</w:t>
      </w:r>
    </w:p>
    <w:p>
      <w:pPr/>
      <w:r>
        <w:t>Trigger: When the issue described by the title is present</w:t>
      </w:r>
    </w:p>
    <w:p>
      <w:pPr/>
      <w:r>
        <w:t>Mandatory action: Check payment gateway status, order ledger, reversal status, and bank reference through authenticated tools. A pending authorisation is not necessarily a settled charge. Never promise immediate reversal or request full card credentials, CVV, PIN, UPI PIN or OTP. Escalate mismatched settled debits to payments team.</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P2 | Authority draft_only | Source benchmarks SRC-01, SRC-03, SRC-05, SRC-07</w:t>
      </w:r>
    </w:p>
    <w:p>
      <w:pPr>
        <w:pStyle w:val="Heading1"/>
      </w:pPr>
      <w:r>
        <w:t>Source and approval notice</w:t>
      </w:r>
    </w:p>
    <w:p>
      <w:r>
        <w:t>Public references are benchmarks, not Tomato terms. Management must approve compensation authority, staffing, privacy retention, crisis ownership, local language requirements and final customer commitments before deployment.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TOMATO  /  CUSTOMER TRUST &amp;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