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Crisis Management and Escalation Playbook</w:t>
      </w:r>
    </w:p>
    <w:p>
      <w:r>
        <w:t>POLICY ID: TOM-03   |   VERSION: 3.0   |   DATE: 28 OCT 2026   |   STATUS: PROPOSED — REQUIRES TOMATO APPROVAL</w:t>
      </w:r>
    </w:p>
    <w:p>
      <w:r>
        <w:t>Purpose: establish auditable operating rules for AI-assisted social media customer response. Fictional academic simulation; no policy is represented as live or legally approved.</w:t>
      </w:r>
    </w:p>
    <w:p>
      <w:pPr>
        <w:pStyle w:val="Heading1"/>
      </w:pPr>
      <w:r>
        <w:t>Policy authority and controls</w:t>
      </w:r>
    </w:p>
    <w:p>
      <w:r>
        <w:t>Higher-priority safety, applicable law, privacy and verified incident procedure supersede routine templates. AI may draft but must not autonomously publish, refund, modify accounts or make legal admissions. Case-specific claims require authenticated system evidence.</w:t>
      </w:r>
    </w:p>
    <w:p>
      <w:pPr>
        <w:pStyle w:val="Heading2"/>
      </w:pPr>
      <w:r>
        <w:t>CR-101 | Immediate danger</w:t>
      </w:r>
    </w:p>
    <w:p>
      <w:pPr/>
      <w:r>
        <w:t>Rule: Food allergy exposure, suspected poisoning, choking, serious injury, credible violence or imminent self-harm: priority P0; advise emergency services when immediate danger, stop routine compensation flow, route to safety lead immediately. Do not diagnose or give medical treatment instructions.</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Trust &amp; Safety incident commander</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P0/P1 | Authority human_only | Source benchmarks SRC-05, SRC-07</w:t>
      </w:r>
    </w:p>
    <w:p>
      <w:pPr>
        <w:pStyle w:val="Heading2"/>
      </w:pPr>
      <w:r>
        <w:t>CR-102 | Food contamination and tampering</w:t>
      </w:r>
    </w:p>
    <w:p>
      <w:pPr/>
      <w:r>
        <w:t>Rule: Classify foreign object, raw food, allergens, broken seals, illness clusters, contamination and deliberate tampering separately. Request safe preservation of packaging/evidence through secure channel, without instructing the customer to consume or handle hazardous material.</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Trust &amp; Safety incident commander</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P0/P1 | Authority human_only | Source benchmarks SRC-05, SRC-07</w:t>
      </w:r>
    </w:p>
    <w:p>
      <w:pPr>
        <w:pStyle w:val="Heading2"/>
      </w:pPr>
      <w:r>
        <w:t>CR-103 | Privacy and account compromise</w:t>
      </w:r>
    </w:p>
    <w:p>
      <w:pPr/>
      <w:r>
        <w:t>Rule: Exposure of address, contact information, account takeover, payment information or threats of doxxing: suppress sensitive public detail, escalate to security/privacy lead and preserve minimum necessary evidence. Do not confirm another person’s account data.</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Trust &amp; Safety incident commander</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P0/P1 | Authority human_only | Source benchmarks SRC-05, SRC-07</w:t>
      </w:r>
    </w:p>
    <w:p>
      <w:pPr>
        <w:pStyle w:val="Heading2"/>
      </w:pPr>
      <w:r>
        <w:t>CR-104 | Credible threats and harassment</w:t>
      </w:r>
    </w:p>
    <w:p>
      <w:pPr/>
      <w:r>
        <w:t>Rule: Threats to customer, rider, merchant or staff require safety assessment and escalation. Do not engage in arguments, threaten enforcement or reveal investigative details publicly.</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Trust &amp; Safety incident commander</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P0/P1 | Authority human_only | Source benchmarks SRC-05, SRC-07</w:t>
      </w:r>
    </w:p>
    <w:p>
      <w:pPr>
        <w:pStyle w:val="Heading2"/>
      </w:pPr>
      <w:r>
        <w:t>CR-105 | Crisis communications</w:t>
      </w:r>
    </w:p>
    <w:p>
      <w:pPr/>
      <w:r>
        <w:t>Rule: Only incident commander and authorised communications lead may confirm systemic incidents, root cause, numbers affected, liability or remedial actions. Public holding statements must be factual, time-bound only when verified, and regularly reviewed.</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SRC-05, SRC-07</w:t>
      </w:r>
    </w:p>
    <w:p>
      <w:pPr>
        <w:pStyle w:val="Heading2"/>
      </w:pPr>
      <w:r>
        <w:t>CR-106 | Evidence and incident closure</w:t>
      </w:r>
    </w:p>
    <w:p>
      <w:pPr/>
      <w:r>
        <w:t>Rule: Record time, platform, link, exact text, severity, owner, decisions, approvals, next review and closure reason. Retain according to approved retention schedule; avoid copying unnecessary personal data into model logs.</w:t>
      </w:r>
    </w:p>
    <w:p>
      <w:pPr/>
      <w:r>
        <w:t>Trigger: Customer social-media content or case facts match this section topic.</w:t>
      </w:r>
    </w:p>
    <w:p>
      <w:pPr/>
      <w:r>
        <w:t>Mandatory action: Classify severity, retrieve current policy, acknowledge concern, verify case state before asserting facts; apply the section rule.</w:t>
      </w:r>
    </w:p>
    <w:p>
      <w:pPr/>
      <w:r>
        <w:t>Permitted action: Draft a neutral response and route to verified in-app support when private investigation is needed.</w:t>
      </w:r>
    </w:p>
    <w:p>
      <w:pPr/>
      <w:r>
        <w:t>Prohibited action: Do not publish personal data, invent outcomes, guarantee refunds, assert unverified facts, or treat public comments as verified orders.</w:t>
      </w:r>
    </w:p>
    <w:p>
      <w:pPr/>
      <w:r>
        <w:t>Evidence: Authenticated case/order record for case-specific statements; otherwise none for general guidance.</w:t>
      </w:r>
    </w:p>
    <w:p>
      <w:pPr/>
      <w:r>
        <w:t>Owner: Social Care agent</w:t>
      </w:r>
    </w:p>
    <w:p>
      <w:pPr/>
      <w:r>
        <w:t>Escalation: Escalate when facts are disputed, harm is alleged, evidence is insufficient, or an action requires authority.</w:t>
      </w:r>
    </w:p>
    <w:p>
      <w:pPr/>
      <w:r>
        <w:t>Exception: Higher-severity safety, privacy, legal, and imminent-harm rules override this section.</w:t>
      </w:r>
    </w:p>
    <w:p>
      <w:r>
        <w:t>Control metadata: PROPOSED_REQUIRES_APPROVAL | Severity P3 | Authority draft_only | Source benchmarks SRC-05, SRC-07</w:t>
      </w:r>
    </w:p>
    <w:p>
      <w:pPr>
        <w:pStyle w:val="Heading2"/>
      </w:pPr>
      <w:r>
        <w:t>CR-SAFE-01 | Suspected food poisoning or allergen exposure</w:t>
      </w:r>
    </w:p>
    <w:p>
      <w:pPr/>
      <w:r>
        <w:t>Rule: Treat reported illness, allergic reaction or possible contamination as P0 when severe symptoms or imminent harm are alleged, otherwise P1. Advise urgent local medical assistance where appropriate without diagnosing. Stop routine refund script; preserve packaging, order and restaurant details if safe; notify Trust &amp; Safety and Food Safety owner; do not publicly assign liability.</w:t>
      </w:r>
    </w:p>
    <w:p>
      <w:pPr/>
      <w:r>
        <w:t>Trigger: When the issue described by the title is present</w:t>
      </w:r>
    </w:p>
    <w:p>
      <w:pPr/>
      <w:r>
        <w:t>Mandatory action: Treat reported illness, allergic reaction or possible contamination as P0 when severe symptoms or imminent harm are alleged, otherwise P1. Advise urgent local medical assistance where appropriate without diagnosing. Stop routine refund script; preserve packaging, order and restaurant details if safe; notify Trust &amp; Safety and Food Safety owner; do not publicly assign liability.</w:t>
      </w:r>
    </w:p>
    <w:p>
      <w:pPr/>
      <w:r>
        <w:t>Permitted action: Acknowledge and refer to verified support workflow</w:t>
      </w:r>
    </w:p>
    <w:p>
      <w:pPr/>
      <w:r>
        <w:t>Prohibited action: No unverified promise, public disclosure, or autonomous remedy</w:t>
      </w:r>
    </w:p>
    <w:p>
      <w:pPr/>
      <w:r>
        <w:t>Evidence: Verified order and incident facts as applicable</w:t>
      </w:r>
    </w:p>
    <w:p>
      <w:pPr/>
      <w:r>
        <w:t>Owner: Policy owner / designated operational lead</w:t>
      </w:r>
    </w:p>
    <w:p>
      <w:pPr/>
      <w:r>
        <w:t>Escalation: Human review mandatory for safety, legal, payment remedy and privacy</w:t>
      </w:r>
    </w:p>
    <w:p>
      <w:pPr/>
      <w:r>
        <w:t>Exception: Higher severity controls override</w:t>
      </w:r>
    </w:p>
    <w:p>
      <w:r>
        <w:t>Control metadata: PROPOSED_REQUIRES_APPROVAL | Severity P0 | Authority draft_only | Source benchmarks SRC-01, SRC-03, SRC-05, SRC-07</w:t>
      </w:r>
    </w:p>
    <w:p>
      <w:pPr>
        <w:pStyle w:val="Heading2"/>
      </w:pPr>
      <w:r>
        <w:t>CR-PRIV-01 | Personal data disclosure</w:t>
      </w:r>
    </w:p>
    <w:p>
      <w:pPr/>
      <w:r>
        <w:t>Rule: Hide or report exposed personal data under platform rules; preserve a restricted audit copy if authorised; initiate security incident triage and notify privacy lead. Never repost the exposed information or ask the user to repeat it. Legal notification obligations require jurisdiction-specific review.</w:t>
      </w:r>
    </w:p>
    <w:p>
      <w:pPr/>
      <w:r>
        <w:t>Trigger: When the issue described by the title is present</w:t>
      </w:r>
    </w:p>
    <w:p>
      <w:pPr/>
      <w:r>
        <w:t>Mandatory action: Hide or report exposed personal data under platform rules; preserve a restricted audit copy if authorised; initiate security incident triage and notify privacy lead. Never repost the exposed information or ask the user to repeat it. Legal notification obligations require jurisdiction-specific review.</w:t>
      </w:r>
    </w:p>
    <w:p>
      <w:pPr/>
      <w:r>
        <w:t>Permitted action: Acknowledge and refer to verified support workflow</w:t>
      </w:r>
    </w:p>
    <w:p>
      <w:pPr/>
      <w:r>
        <w:t>Prohibited action: No unverified promise, public disclosure, or autonomous remedy</w:t>
      </w:r>
    </w:p>
    <w:p>
      <w:pPr/>
      <w:r>
        <w:t>Evidence: Verified order and incident facts as applicable</w:t>
      </w:r>
    </w:p>
    <w:p>
      <w:pPr/>
      <w:r>
        <w:t>Owner: Policy owner / designated operational lead</w:t>
      </w:r>
    </w:p>
    <w:p>
      <w:pPr/>
      <w:r>
        <w:t>Escalation: Human review mandatory for safety, legal, payment remedy and privacy</w:t>
      </w:r>
    </w:p>
    <w:p>
      <w:pPr/>
      <w:r>
        <w:t>Exception: Higher severity controls override</w:t>
      </w:r>
    </w:p>
    <w:p>
      <w:r>
        <w:t>Control metadata: PROPOSED_REQUIRES_APPROVAL | Severity P1 | Authority draft_only | Source benchmarks SRC-01, SRC-03, SRC-05, SRC-07</w:t>
      </w:r>
    </w:p>
    <w:p>
      <w:pPr>
        <w:pStyle w:val="Heading1"/>
      </w:pPr>
      <w:r>
        <w:t>Source and approval notice</w:t>
      </w:r>
    </w:p>
    <w:p>
      <w:r>
        <w:t>Public references are benchmarks, not Tomato terms. Management must approve compensation authority, staffing, privacy retention, crisis ownership, local language requirements and final customer commitments before deployment.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TOMATO  /  CUSTOMER TRUST &amp; AI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