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color w:val="6B7280"/>
          <w:sz w:val="22"/>
        </w:rPr>
        <w:t>Cover note and document index</w:t>
      </w:r>
    </w:p>
    <w:p>
      <w:pPr>
        <w:spacing w:after="40"/>
      </w:pPr>
      <w:r>
        <w:rPr>
          <w:b/>
          <w:color w:val="1A55F9"/>
          <w:sz w:val="44"/>
        </w:rPr>
        <w:t>Keysight RFP Response</w:t>
      </w:r>
    </w:p>
    <w:p>
      <w:pPr>
        <w:spacing w:after="360"/>
      </w:pPr>
      <w:r>
        <w:rPr>
          <w:i/>
          <w:color w:val="6B7280"/>
          <w:sz w:val="19"/>
        </w:rPr>
        <w:t>Keysight Technologies . Agentic AI for SalesOps . The Hackett Group on ZBrain . Response date 12 May 2026</w:t>
      </w:r>
    </w:p>
    <w:p>
      <w:pPr>
        <w:spacing w:after="80"/>
      </w:pPr>
      <w:r>
        <w:rPr>
          <w:b w:val="0"/>
          <w:i w:val="0"/>
          <w:sz w:val="21"/>
        </w:rPr>
        <w:t>The Hackett Group submits this response to Keysight's Request for Proposal for an Agentic AI platform that automates the SalesOps front-office operation. The proposal is delivered through our enterprise services practice and our proprietary platform, ZBrain, under a single accountable team. The engagement follows a hybrid build-and-deploy model: solution design and build run inside ZBrain's Solution Builder on the Hackett-operated tenancy, and production deployment runs separately inside Keysight's own AWS infrastructure, so the runtime, the data path, the LLM endpoints, and the Knowledge Base content remain within Keysight's security and operational boundary. Delivery is a ten-week engagement to a working production pilot, followed by hypercare and a long-running managed service. The delivery team includes the Hackett engineers who carried out the prior proof-of-concept work in this domain.</w:t>
      </w:r>
    </w:p>
    <w:p>
      <w:pPr>
        <w:pStyle w:val="Heading2"/>
        <w:spacing w:before="160" w:after="80"/>
      </w:pPr>
      <w:r>
        <w:rPr>
          <w:color w:val="131426"/>
        </w:rPr>
        <w:t>How this response is organised</w:t>
      </w:r>
    </w:p>
    <w:p>
      <w:pPr>
        <w:spacing w:after="80"/>
      </w:pPr>
      <w:r>
        <w:rPr>
          <w:b w:val="0"/>
          <w:i w:val="0"/>
          <w:sz w:val="21"/>
        </w:rPr>
        <w:t>The response comprises twelve numbered sections plus a role-by-provider RACI matrix. Each document is self-contained and may be distributed independently to Keysight's topic specialists. The high-level scope of each document is listed below.</w:t>
      </w:r>
    </w:p>
    <w:p>
      <w:pPr>
        <w:pStyle w:val="ListBullet"/>
        <w:spacing w:after="40"/>
      </w:pPr>
      <w:r>
        <w:rPr>
          <w:b/>
          <w:sz w:val="21"/>
        </w:rPr>
        <w:t xml:space="preserve">1. Executive Summary. </w:t>
      </w:r>
      <w:r>
        <w:rPr>
          <w:sz w:val="21"/>
        </w:rPr>
        <w:t>The opportunity, the proposal at a glance, and the headline commitments.</w:t>
      </w:r>
    </w:p>
    <w:p>
      <w:pPr>
        <w:pStyle w:val="ListBullet"/>
        <w:spacing w:after="40"/>
      </w:pPr>
      <w:r>
        <w:rPr>
          <w:b/>
          <w:sz w:val="21"/>
        </w:rPr>
        <w:t xml:space="preserve">2. Solution Overview. </w:t>
      </w:r>
      <w:r>
        <w:rPr>
          <w:sz w:val="21"/>
        </w:rPr>
        <w:t>How the solution works end to end, the ZBrain modules in scope, and how the solution sits inside Keysight's existing enterprise systems.</w:t>
      </w:r>
    </w:p>
    <w:p>
      <w:pPr>
        <w:pStyle w:val="ListBullet"/>
        <w:spacing w:after="40"/>
      </w:pPr>
      <w:r>
        <w:rPr>
          <w:b/>
          <w:sz w:val="21"/>
        </w:rPr>
        <w:t xml:space="preserve">3. Scope. </w:t>
      </w:r>
      <w:r>
        <w:rPr>
          <w:sz w:val="21"/>
        </w:rPr>
        <w:t>In-scope and out-of-scope items by use case and sub-case, engagement assumptions, and the risk register.</w:t>
      </w:r>
    </w:p>
    <w:p>
      <w:pPr>
        <w:pStyle w:val="ListBullet"/>
        <w:spacing w:after="40"/>
      </w:pPr>
      <w:r>
        <w:rPr>
          <w:b/>
          <w:sz w:val="21"/>
        </w:rPr>
        <w:t xml:space="preserve">4. Implementation Approach. </w:t>
      </w:r>
      <w:r>
        <w:rPr>
          <w:sz w:val="21"/>
        </w:rPr>
        <w:t>The ten-week phased delivery (Requirement Finalization, MVP Build, Testing and Tuning), the 60 / 20 / 20 data partition, the continuous-learning workflow, and the post-deployment lifecycle.</w:t>
      </w:r>
    </w:p>
    <w:p>
      <w:pPr>
        <w:pStyle w:val="ListBullet"/>
        <w:spacing w:after="40"/>
      </w:pPr>
      <w:r>
        <w:rPr>
          <w:b/>
          <w:sz w:val="21"/>
        </w:rPr>
        <w:t xml:space="preserve">5. AI / ML Capabilities. </w:t>
      </w:r>
      <w:r>
        <w:rPr>
          <w:sz w:val="21"/>
        </w:rPr>
        <w:t>The platform capabilities Hackett brings to the engagement and the applied behaviour in the proposed solution.</w:t>
      </w:r>
    </w:p>
    <w:p>
      <w:pPr>
        <w:pStyle w:val="ListBullet"/>
        <w:spacing w:after="40"/>
      </w:pPr>
      <w:r>
        <w:rPr>
          <w:b/>
          <w:sz w:val="21"/>
        </w:rPr>
        <w:t xml:space="preserve">6. Delivery Plan. </w:t>
      </w:r>
      <w:r>
        <w:rPr>
          <w:sz w:val="21"/>
        </w:rPr>
        <w:t>Phase milestones, cumulative acceptance criteria, governance cadence, and the exit gates that close each phase.</w:t>
      </w:r>
    </w:p>
    <w:p>
      <w:pPr>
        <w:pStyle w:val="ListBullet"/>
        <w:spacing w:after="40"/>
      </w:pPr>
      <w:r>
        <w:rPr>
          <w:b/>
          <w:sz w:val="21"/>
        </w:rPr>
        <w:t xml:space="preserve">7. Team Composition. </w:t>
      </w:r>
      <w:r>
        <w:rPr>
          <w:sz w:val="21"/>
        </w:rPr>
        <w:t>Delivery team and responsibilities, week-by-week resource utilisation, the hypercare team, and the steady-state support model.</w:t>
      </w:r>
    </w:p>
    <w:p>
      <w:pPr>
        <w:pStyle w:val="ListBullet"/>
        <w:spacing w:after="40"/>
      </w:pPr>
      <w:r>
        <w:rPr>
          <w:b/>
          <w:sz w:val="21"/>
        </w:rPr>
        <w:t xml:space="preserve">8. Pricing Model. </w:t>
      </w:r>
      <w:r>
        <w:rPr>
          <w:sz w:val="21"/>
        </w:rPr>
        <w:t>Modular and turnkey pricing structures, implementation cost separated from ongoing cost, the outcome-based variant, and worked examples at Keysight's stated volumes.</w:t>
      </w:r>
    </w:p>
    <w:p>
      <w:pPr>
        <w:pStyle w:val="ListBullet"/>
        <w:spacing w:after="40"/>
      </w:pPr>
      <w:r>
        <w:rPr>
          <w:b/>
          <w:sz w:val="21"/>
        </w:rPr>
        <w:t xml:space="preserve">9. Infrastructure. </w:t>
      </w:r>
      <w:r>
        <w:rPr>
          <w:sz w:val="21"/>
        </w:rPr>
        <w:t>Deployment architecture inside Keysight's AWS account, the ZBrain platform modules, integration channels with Salesforce, Jitterbit, Oracle EBS, DocuNet, Outlook, Azure AD, and the Cloudflare edge.</w:t>
      </w:r>
    </w:p>
    <w:p>
      <w:pPr>
        <w:pStyle w:val="ListBullet"/>
        <w:spacing w:after="40"/>
      </w:pPr>
      <w:r>
        <w:rPr>
          <w:b/>
          <w:sz w:val="21"/>
        </w:rPr>
        <w:t xml:space="preserve">10. Security and Governance. </w:t>
      </w:r>
      <w:r>
        <w:rPr>
          <w:sz w:val="21"/>
        </w:rPr>
        <w:t>Enterprise-level governance aligned to Keysight's Microsoft, AWS, and Cloudflare standards, application-level governance through the ZBrain Governance and Monitor modules, citizenship-based access, data security, and the audit trail.</w:t>
      </w:r>
    </w:p>
    <w:p>
      <w:pPr>
        <w:pStyle w:val="ListBullet"/>
        <w:spacing w:after="40"/>
      </w:pPr>
      <w:r>
        <w:rPr>
          <w:b/>
          <w:sz w:val="21"/>
        </w:rPr>
        <w:t xml:space="preserve">11. References. </w:t>
      </w:r>
      <w:r>
        <w:rPr>
          <w:sz w:val="21"/>
        </w:rPr>
        <w:t>Comparable implementations matching Keysight's domain and use-case criteria, and the reference selection process.</w:t>
      </w:r>
    </w:p>
    <w:p>
      <w:pPr>
        <w:pStyle w:val="ListBullet"/>
        <w:spacing w:after="40"/>
      </w:pPr>
      <w:r>
        <w:rPr>
          <w:b/>
          <w:sz w:val="21"/>
        </w:rPr>
        <w:t xml:space="preserve">12. Demo. </w:t>
      </w:r>
      <w:r>
        <w:rPr>
          <w:sz w:val="21"/>
        </w:rPr>
        <w:t>Demo format and slot, the reference implementation shown, the supplementary materials available, and the next steps.</w:t>
      </w:r>
    </w:p>
    <w:p>
      <w:pPr>
        <w:pStyle w:val="ListBullet"/>
        <w:spacing w:after="40"/>
      </w:pPr>
      <w:r>
        <w:rPr>
          <w:b/>
          <w:sz w:val="21"/>
        </w:rPr>
        <w:t xml:space="preserve">13. RACI Matrix. </w:t>
      </w:r>
      <w:r>
        <w:rPr>
          <w:sz w:val="21"/>
        </w:rPr>
        <w:t>Role-by-provider responsibility assignment across the engagement and the post-deployment lifecycle.</w:t>
      </w:r>
    </w:p>
    <w:p>
      <w:pPr>
        <w:spacing w:after="40"/>
      </w:pPr>
    </w:p>
    <w:p>
      <w:pPr>
        <w:pStyle w:val="Heading2"/>
        <w:spacing w:before="160" w:after="80"/>
      </w:pPr>
      <w:r>
        <w:rPr>
          <w:color w:val="131426"/>
        </w:rPr>
        <w:t>Engagement contact</w:t>
      </w:r>
    </w:p>
    <w:p>
      <w:pPr>
        <w:spacing w:after="80"/>
      </w:pPr>
      <w:r>
        <w:rPr>
          <w:b w:val="0"/>
          <w:i w:val="0"/>
          <w:sz w:val="21"/>
        </w:rPr>
        <w:t>For any clarification on this response, the evaluation team is invited to contact our named engagement lead. The Hackett Group is available to present the solution in person and to introduce the customer references aligned to the SalesOps and order-management use-case profile.</w:t>
      </w:r>
    </w:p>
    <w:p>
      <w:pPr>
        <w:spacing w:after="40"/>
      </w:pPr>
    </w:p>
    <w:p>
      <w:pPr>
        <w:spacing w:after="0"/>
      </w:pPr>
      <w:r>
        <w:rPr>
          <w:b/>
          <w:sz w:val="22"/>
        </w:rPr>
        <w:t>[Signatory Name]</w:t>
      </w:r>
    </w:p>
    <w:p>
      <w:pPr>
        <w:spacing w:after="0"/>
      </w:pPr>
      <w:r>
        <w:rPr>
          <w:b w:val="0"/>
          <w:sz w:val="21"/>
        </w:rPr>
        <w:t>Managing Director, AI and ML Practice</w:t>
      </w:r>
    </w:p>
    <w:p>
      <w:pPr>
        <w:spacing w:after="0"/>
      </w:pPr>
      <w:r>
        <w:rPr>
          <w:b w:val="0"/>
          <w:sz w:val="21"/>
        </w:rPr>
        <w:t>The Hackett Group</w:t>
      </w:r>
    </w:p>
    <w:p>
      <w:pPr>
        <w:spacing w:after="0"/>
      </w:pPr>
      <w:r>
        <w:rPr>
          <w:b w:val="0"/>
          <w:sz w:val="21"/>
        </w:rPr>
        <w:t>[email]  /  [phone]</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