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color w:val="6B7280"/>
          <w:sz w:val="22"/>
        </w:rPr>
        <w:t>Section 1 of 13</w:t>
      </w:r>
    </w:p>
    <w:p>
      <w:pPr>
        <w:spacing w:after="40"/>
      </w:pPr>
      <w:r>
        <w:rPr>
          <w:b/>
          <w:color w:val="1A55F9"/>
          <w:sz w:val="44"/>
        </w:rPr>
        <w:t>Executive Summary</w:t>
      </w:r>
    </w:p>
    <w:p>
      <w:pPr>
        <w:spacing w:after="240"/>
      </w:pPr>
      <w:r>
        <w:rPr>
          <w:i/>
          <w:color w:val="6B7280"/>
          <w:sz w:val="19"/>
        </w:rPr>
        <w:t>Keysight Technologies . Agentic AI for SalesOps RFP Response . The Hackett Group on ZBrain . Response date 2026-05-11</w:t>
      </w:r>
    </w:p>
    <w:p>
      <w:pPr>
        <w:pStyle w:val="Heading2"/>
        <w:spacing w:before="160" w:after="80"/>
      </w:pPr>
      <w:r>
        <w:rPr>
          <w:color w:val="131426"/>
        </w:rPr>
        <w:t>The opportunity</w:t>
      </w:r>
    </w:p>
    <w:p>
      <w:pPr>
        <w:spacing w:after="80"/>
      </w:pPr>
      <w:r>
        <w:rPr>
          <w:b w:val="0"/>
          <w:i w:val="0"/>
          <w:sz w:val="21"/>
        </w:rPr>
        <w:t>Keysight's SalesOps front office handles approximately 880 thousand inbound customer emails per year (about 2,000 per day, per Keysight's Q&amp;A clarification, item 11), spread across roughly 50 region-segregated mailboxes serving the Americas, Europe, Asia-Pac, and Japan. Eighty to ninety concurrent users staff this queue today out of a 600 to 700 person global sales operations population. Almost every step in that flow is manual: classifying the request, opening attachments (typical email sizes one to twenty MB), finding the right Salesforce record, creating or updating the CCC Request, routing to the right CSR, and drafting the reply to the customer in the right language. This is high-skill work, but it is also high-volume and repetitive, and the team's time is the scarce resource.</w:t>
      </w:r>
    </w:p>
    <w:p>
      <w:pPr>
        <w:spacing w:after="80"/>
      </w:pPr>
      <w:r>
        <w:rPr>
          <w:b w:val="0"/>
          <w:i w:val="0"/>
          <w:sz w:val="21"/>
        </w:rPr>
        <w:t>The RFP names seven inbound-request flows in scope and asks for an Agentic AI platform that takes on this work end to end while keeping the team in control. The stated business outcome is a 60 to 70 percent reduction in manual CSR effort and a turnaround improvement from hours to minutes.</w:t>
      </w:r>
    </w:p>
    <w:p>
      <w:pPr>
        <w:pStyle w:val="Heading2"/>
        <w:spacing w:before="160" w:after="80"/>
      </w:pPr>
      <w:r>
        <w:rPr>
          <w:color w:val="131426"/>
        </w:rPr>
        <w:t>What Keysight already has in place</w:t>
      </w:r>
    </w:p>
    <w:p>
      <w:pPr>
        <w:spacing w:after="80"/>
      </w:pPr>
      <w:r>
        <w:rPr>
          <w:b w:val="0"/>
          <w:i w:val="0"/>
          <w:sz w:val="21"/>
        </w:rPr>
        <w:t>Keysight has done a great deal of the upstream thinking already. The seven use cases in the RFP, the AIOA validation pattern on the Trade Order Entry, SOM WO Update, and Service Contract flows, the operational rules your CSRs apply during classification, the Outlook pre-filters, and Docunet (your document store) together with the practice of filing every email against its CCC Request with Doc type FCNV, are all in place. What is missing is an Agentic AI layer that connects them, runs across them at scale, and gets better at the work over time. That is the solution we are proposing.</w:t>
      </w:r>
    </w:p>
    <w:p>
      <w:pPr>
        <w:pStyle w:val="Heading2"/>
        <w:spacing w:before="160" w:after="80"/>
      </w:pPr>
      <w:r>
        <w:rPr>
          <w:color w:val="131426"/>
        </w:rPr>
        <w:t>What we propose</w:t>
      </w:r>
    </w:p>
    <w:p>
      <w:pPr>
        <w:spacing w:after="80"/>
      </w:pPr>
      <w:r>
        <w:rPr>
          <w:b w:val="0"/>
          <w:i w:val="0"/>
          <w:sz w:val="21"/>
        </w:rPr>
        <w:t>The Hackett Group proposes the ZBrain Agentic AI platform as the foundation, delivered as a Combination Provider (Product plus Services) under a single accountable team. We will follow a hybrid build-and-deploy model. Design and build happen inside ZBrain's Solution Builder — the visual orchestration surface that wires the end-to-end agents against Keysight's rule book, Knowledge Bases, and integration channels — running on the ZBrain platform tenancy The Hackett Group operates. The production solution then deploys separately onto Keysight's own infrastructure (AWS, per the Keysight standard called out in Q&amp;A item 55), so the runtime, the data path, the LLM endpoints, the Governance and Monitor signals, and the Knowledge Base content all sit inside Keysight's boundary. Our delivery team includes the engineers who carried out Keysight's earlier POC in this domain, so context is preserved from day one.</w:t>
      </w:r>
    </w:p>
    <w:p>
      <w:pPr>
        <w:spacing w:after="80"/>
      </w:pPr>
      <w:r>
        <w:rPr>
          <w:b w:val="0"/>
          <w:i w:val="0"/>
          <w:sz w:val="21"/>
        </w:rPr>
        <w:t>The proposed solution operationalises an AI assistant that reads each email and its attachments, classifies the intent against your rule book, extracts the fields that matter for each use case, resolves the customer and product entities in Salesforce, validates the request against your existing data, and decides how confident it is. Confidence is scored using the four-gate model Keysight described during the Q&amp;A clarification (Classification, Extraction, Entity Resolution, Action Feasibility), with the overall tier set by the lowest gate. Per Q&amp;A item 22, the initial production posture is AI drafts, CSR reviews, CSR sends; autonomy expands use case by use case as confidence in each gate is validated. The assistant drafts the customer reply in the customer's detected language and files the email against the right CCC Request in DocuNet with Doc type FCNV.</w:t>
      </w:r>
    </w:p>
    <w:p>
      <w:pPr>
        <w:pStyle w:val="Heading2"/>
        <w:spacing w:before="160" w:after="80"/>
      </w:pPr>
      <w:r>
        <w:rPr>
          <w:color w:val="131426"/>
        </w:rPr>
        <w:t>Headline commitments</w:t>
      </w:r>
    </w:p>
    <w:p>
      <w:pPr>
        <w:pStyle w:val="ListBullet"/>
        <w:spacing w:after="40"/>
      </w:pPr>
      <w:r>
        <w:rPr>
          <w:sz w:val="21"/>
        </w:rPr>
        <w:t>Classification accuracy at or above the 90 percent threshold the RFP names, measured against the regression corpus at every sprint cut. Tuning uses a 60 / 20 / 20 train / validation / test split.</w:t>
      </w:r>
    </w:p>
    <w:p>
      <w:pPr>
        <w:pStyle w:val="ListBullet"/>
        <w:spacing w:after="40"/>
      </w:pPr>
      <w:r>
        <w:rPr>
          <w:sz w:val="21"/>
        </w:rPr>
        <w:t>Initial production posture per Q&amp;A item 22: AI drafts, CSR reviews, CSR sends. Autonomy expansion is a deliberate Keysight decision per use case, not an automatic ramp; every transition is logged and reversible.</w:t>
      </w:r>
    </w:p>
    <w:p>
      <w:pPr>
        <w:pStyle w:val="ListBullet"/>
        <w:spacing w:after="40"/>
      </w:pPr>
      <w:r>
        <w:rPr>
          <w:sz w:val="21"/>
        </w:rPr>
        <w:t>All three RAG types (structured database grounding, knowledge-graph traversal, unstructured document search) served by the ZBrain Knowledge Base module, per Q&amp;A item 53.</w:t>
      </w:r>
    </w:p>
    <w:p>
      <w:pPr>
        <w:pStyle w:val="ListBullet"/>
        <w:spacing w:after="40"/>
      </w:pPr>
      <w:r>
        <w:rPr>
          <w:sz w:val="21"/>
        </w:rPr>
        <w:t>Customer-facing replies drafted in the customer's detected language, using Keysight's existing translation knowledge base extended for SalesOps-specific terminology, per Q&amp;A items 26 and 27.</w:t>
      </w:r>
    </w:p>
    <w:p>
      <w:pPr>
        <w:pStyle w:val="ListBullet"/>
        <w:spacing w:after="40"/>
      </w:pPr>
      <w:r>
        <w:rPr>
          <w:sz w:val="21"/>
        </w:rPr>
        <w:t>Auditable trace per email: every reading, every extracted field, every decision, every external write recorded against a per-email reference and exported to Keysight's SIEM. Retention approximately ten years per Q&amp;A item 45.</w:t>
      </w:r>
    </w:p>
    <w:p>
      <w:pPr>
        <w:pStyle w:val="ListBullet"/>
        <w:spacing w:after="40"/>
      </w:pPr>
      <w:r>
        <w:rPr>
          <w:sz w:val="21"/>
        </w:rPr>
        <w:t>Eight-week delivery to a working production pilot, structured as four two-week sprints, with Knowledge Bases the Keysight team can tune without code changes. Implementation is fixed-fee; post-deployment T&amp;M for new use cases and enhancements (Implementation Approach 4.10).</w:t>
      </w:r>
    </w:p>
    <w:p>
      <w:pPr>
        <w:pStyle w:val="ListBullet"/>
        <w:spacing w:after="40"/>
      </w:pPr>
      <w:r>
        <w:rPr>
          <w:sz w:val="21"/>
        </w:rPr>
        <w:t>Continuity from the POC engineering team, so the institutional knowledge is preserved across the engagement.</w:t>
      </w:r>
    </w:p>
    <w:p>
      <w:pPr>
        <w:pStyle w:val="Heading2"/>
        <w:spacing w:before="160" w:after="80"/>
      </w:pPr>
      <w:r>
        <w:rPr>
          <w:color w:val="131426"/>
        </w:rPr>
        <w:t>Differentiators</w:t>
      </w:r>
    </w:p>
    <w:p>
      <w:pPr>
        <w:pStyle w:val="ListBullet"/>
        <w:spacing w:after="40"/>
      </w:pPr>
      <w:r>
        <w:rPr>
          <w:sz w:val="21"/>
        </w:rPr>
        <w:t>Single team accountable for product and services. One MSA, one delivery lead, one escalation path. No vendor finger-pointing between platform issues and configuration issues.</w:t>
      </w:r>
    </w:p>
    <w:p>
      <w:pPr>
        <w:pStyle w:val="ListBullet"/>
        <w:spacing w:after="40"/>
      </w:pPr>
      <w:r>
        <w:rPr>
          <w:sz w:val="21"/>
        </w:rPr>
        <w:t>Hybrid build-and-deploy model. Solution Builder, Governance, Monitor, and Knowledge Base modules are used inside the ZBrain platform tenancy during design and build; the deployed solution then runs on Keysight's own infrastructure, so Keysight retains data residency, runtime control, and LLM-endpoint ownership.</w:t>
      </w:r>
    </w:p>
    <w:p>
      <w:pPr>
        <w:pStyle w:val="ListBullet"/>
        <w:spacing w:after="40"/>
      </w:pPr>
      <w:r>
        <w:rPr>
          <w:sz w:val="21"/>
        </w:rPr>
        <w:t>Engineering continuity from the prior POC engagement. Context on Keysight's CSR rule book, the AIOA validation pattern, and the multi-format attachment handling does not have to be rebuilt.</w:t>
      </w:r>
    </w:p>
    <w:p>
      <w:pPr>
        <w:pStyle w:val="ListBullet"/>
        <w:spacing w:after="40"/>
      </w:pPr>
      <w:r>
        <w:rPr>
          <w:sz w:val="21"/>
        </w:rPr>
        <w:t>Model-agnostic platform. Keysight keeps the choice of LLM provider (commercial, open-source) and can change that choice without rebuilding the solution.</w:t>
      </w:r>
    </w:p>
    <w:p>
      <w:pPr>
        <w:pStyle w:val="ListBullet"/>
        <w:spacing w:after="40"/>
      </w:pPr>
      <w:r>
        <w:rPr>
          <w:sz w:val="21"/>
        </w:rPr>
        <w:t>Configured rather than custom-coded. Knowledge bases hold the intents, the routing rules, the entity graphs, and the operational rules. Routine changes are operator edits, not developer releases.</w:t>
      </w:r>
    </w:p>
    <w:p>
      <w:pPr>
        <w:pStyle w:val="ListBullet"/>
        <w:spacing w:after="40"/>
      </w:pPr>
      <w:r>
        <w:rPr>
          <w:sz w:val="21"/>
        </w:rPr>
        <w:t>Application-level governance from day one through the ZBrain Governance and Monitor modules, with integration points to a future enterprise governance fabric as Keysight adopts it (per Q&amp;A item 55).</w:t>
      </w:r>
    </w:p>
    <w:p>
      <w:pPr>
        <w:pStyle w:val="ListBullet"/>
        <w:spacing w:after="40"/>
      </w:pPr>
      <w:r>
        <w:rPr>
          <w:sz w:val="21"/>
        </w:rPr>
        <w:t>Hackett's AI Development Methodology, compressed to eight weeks because the upstream requirements work is already in the RFP.</w:t>
      </w:r>
    </w:p>
    <w:p>
      <w:pPr>
        <w:pStyle w:val="ListBullet"/>
        <w:spacing w:after="40"/>
      </w:pPr>
      <w:r>
        <w:rPr>
          <w:sz w:val="21"/>
        </w:rPr>
        <w:t>Real integrations with the systems Keysight already runs: Salesforce, Oracle EBS and DocuNet through Jitterbit (per Q&amp;A item 56), Logik.io, KSP, Outlook through Microsoft Graph, Azure AD for SSO, Cloudflare for internet-exposed surfaces. ServiceNow-side integration stays with Keysight's dev team.</w:t>
      </w:r>
    </w:p>
    <w:sectPr w:rsidR="00FC693F" w:rsidRPr="0006063C" w:rsidSect="00034616">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