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2 of 13</w:t>
      </w:r>
    </w:p>
    <w:p>
      <w:pPr>
        <w:spacing w:after="40"/>
      </w:pPr>
      <w:r>
        <w:rPr>
          <w:b/>
          <w:color w:val="1A55F9"/>
          <w:sz w:val="44"/>
        </w:rPr>
        <w:t>Solution Overview</w:t>
      </w:r>
    </w:p>
    <w:p>
      <w:pPr>
        <w:spacing w:after="240"/>
      </w:pPr>
      <w:r>
        <w:rPr>
          <w:i/>
          <w:color w:val="6B7280"/>
          <w:sz w:val="19"/>
        </w:rPr>
        <w:t>Keysight Technologies . Agentic AI for SalesOps RFP Response . The Hackett Group on ZBrain . Response date 2026-05-11</w:t>
      </w:r>
    </w:p>
    <w:p>
      <w:pPr>
        <w:pStyle w:val="Heading2"/>
        <w:spacing w:before="160" w:after="80"/>
      </w:pPr>
      <w:r>
        <w:rPr>
          <w:color w:val="131426"/>
        </w:rPr>
        <w:t>The vision in one paragraph</w:t>
      </w:r>
    </w:p>
    <w:p>
      <w:pPr>
        <w:spacing w:after="80"/>
      </w:pPr>
      <w:r>
        <w:rPr>
          <w:b w:val="0"/>
          <w:i w:val="0"/>
          <w:sz w:val="21"/>
        </w:rPr>
        <w:t>An AI assistant working alongside your CSR team. It reads every inbound email at the moment it arrives, understands what the customer is asking for, finds the right records in Salesforce, validates the request against your existing data, and either acts on it, asks a CSR to approve, or hands it over for full review. It drafts the customer reply in the right language. It keeps an audit trail of everything it did. And it gets better at its job over time as your team corrects it.</w:t>
      </w:r>
    </w:p>
    <w:p>
      <w:pPr>
        <w:pStyle w:val="Heading2"/>
        <w:spacing w:before="160" w:after="80"/>
      </w:pPr>
      <w:r>
        <w:rPr>
          <w:color w:val="131426"/>
        </w:rPr>
        <w:t>How an email moves through the solution</w:t>
      </w:r>
    </w:p>
    <w:p>
      <w:pPr>
        <w:spacing w:after="80"/>
      </w:pPr>
      <w:r>
        <w:rPr>
          <w:b w:val="0"/>
          <w:i w:val="0"/>
          <w:sz w:val="21"/>
        </w:rPr>
        <w:t>Think of an inbound email as a small package of information. The solution carries that package through seven natural steps, each one performed automatically where it can be and by a CSR where the request asks for judgement. The seven steps are framed below in plain language, not engineering vocabulary.</w:t>
      </w:r>
    </w:p>
    <w:tbl>
      <w:tblPr>
        <w:tblStyle w:val="LightGrid-Accent1"/>
        <w:tblW w:type="auto" w:w="0"/>
        <w:tblLook w:firstColumn="1" w:firstRow="1" w:lastColumn="0" w:lastRow="0" w:noHBand="0" w:noVBand="1" w:val="04A0"/>
      </w:tblPr>
      <w:tblGrid>
        <w:gridCol w:w="3289"/>
        <w:gridCol w:w="3289"/>
        <w:gridCol w:w="3289"/>
      </w:tblGrid>
      <w:tr>
        <w:tc>
          <w:tcPr>
            <w:tcW w:type="dxa" w:w="3289"/>
            <w:shd w:val="clear" w:color="auto" w:fill="1A55F9"/>
          </w:tcPr>
          <w:p>
            <w:r>
              <w:rPr>
                <w:b/>
                <w:color w:val="FFFFFF"/>
                <w:sz w:val="20"/>
              </w:rPr>
              <w:t>Step</w:t>
            </w:r>
          </w:p>
        </w:tc>
        <w:tc>
          <w:tcPr>
            <w:tcW w:type="dxa" w:w="3289"/>
            <w:shd w:val="clear" w:color="auto" w:fill="1A55F9"/>
          </w:tcPr>
          <w:p>
            <w:r>
              <w:rPr>
                <w:b/>
                <w:color w:val="FFFFFF"/>
                <w:sz w:val="20"/>
              </w:rPr>
              <w:t>What the solution does</w:t>
            </w:r>
          </w:p>
        </w:tc>
        <w:tc>
          <w:tcPr>
            <w:tcW w:type="dxa" w:w="3289"/>
            <w:shd w:val="clear" w:color="auto" w:fill="1A55F9"/>
          </w:tcPr>
          <w:p>
            <w:r>
              <w:rPr>
                <w:b/>
                <w:color w:val="FFFFFF"/>
                <w:sz w:val="20"/>
              </w:rPr>
              <w:t>What the CSR sees</w:t>
            </w:r>
          </w:p>
        </w:tc>
      </w:tr>
      <w:tr>
        <w:tc>
          <w:tcPr>
            <w:tcW w:type="dxa" w:w="3289"/>
            <w:vAlign w:val="top"/>
          </w:tcPr>
          <w:p>
            <w:r>
              <w:rPr>
                <w:sz w:val="19"/>
              </w:rPr>
              <w:t>1. Triage at the mailbox door</w:t>
            </w:r>
          </w:p>
        </w:tc>
        <w:tc>
          <w:tcPr>
            <w:tcW w:type="dxa" w:w="3289"/>
            <w:vAlign w:val="top"/>
          </w:tcPr>
          <w:p>
            <w:r>
              <w:rPr>
                <w:sz w:val="19"/>
              </w:rPr>
              <w:t>Before the AI does anything, deterministic filters handle the obviously non-actionable mail: bounces, out-of-office replies, Brazil tax filings, portal verification codes, collection notices, and government-customer (KSO) traffic that must be redirected for compliance. These are the rules your team has already documented; the solution preserves them.</w:t>
            </w:r>
          </w:p>
        </w:tc>
        <w:tc>
          <w:tcPr>
            <w:tcW w:type="dxa" w:w="3289"/>
            <w:vAlign w:val="top"/>
          </w:tcPr>
          <w:p>
            <w:r>
              <w:rPr>
                <w:sz w:val="19"/>
              </w:rPr>
              <w:t>The CSR sees less noise. Filtered mail is logged but never lands in the main queue.</w:t>
            </w:r>
          </w:p>
        </w:tc>
      </w:tr>
      <w:tr>
        <w:tc>
          <w:tcPr>
            <w:tcW w:type="dxa" w:w="3289"/>
            <w:vAlign w:val="top"/>
          </w:tcPr>
          <w:p>
            <w:r>
              <w:rPr>
                <w:sz w:val="19"/>
              </w:rPr>
              <w:t>2. Understand the request</w:t>
            </w:r>
          </w:p>
        </w:tc>
        <w:tc>
          <w:tcPr>
            <w:tcW w:type="dxa" w:w="3289"/>
            <w:vAlign w:val="top"/>
          </w:tcPr>
          <w:p>
            <w:r>
              <w:rPr>
                <w:sz w:val="19"/>
              </w:rPr>
              <w:t>The AI reads the email body, walks through every attachment (PDF, Word, Excel, scanned images, forwarded Outlook items), detects the language, and identifies the customer's intent against your operational rule book. It distinguishes a PO from a status enquiry from a service work-order request, even when the same email touches multiple topics.</w:t>
            </w:r>
          </w:p>
        </w:tc>
        <w:tc>
          <w:tcPr>
            <w:tcW w:type="dxa" w:w="3289"/>
            <w:vAlign w:val="top"/>
          </w:tcPr>
          <w:p>
            <w:r>
              <w:rPr>
                <w:sz w:val="19"/>
              </w:rPr>
              <w:t>Each request shows a clear intent label and a confidence score the CSR can trust.</w:t>
            </w:r>
          </w:p>
        </w:tc>
      </w:tr>
      <w:tr>
        <w:tc>
          <w:tcPr>
            <w:tcW w:type="dxa" w:w="3289"/>
            <w:vAlign w:val="top"/>
          </w:tcPr>
          <w:p>
            <w:r>
              <w:rPr>
                <w:sz w:val="19"/>
              </w:rPr>
              <w:t>3. Pull out the fields that matter</w:t>
            </w:r>
          </w:p>
        </w:tc>
        <w:tc>
          <w:tcPr>
            <w:tcW w:type="dxa" w:w="3289"/>
            <w:vAlign w:val="top"/>
          </w:tcPr>
          <w:p>
            <w:r>
              <w:rPr>
                <w:sz w:val="19"/>
              </w:rPr>
              <w:t>For every intent, there is a defined set of fields that the downstream action needs: PO number, model, serial, ship-to, dollar amount, partner name, work-order number, and so on. The solution extracts those fields from the email and its attachments with industry-leading OCR and document-intelligence services, falling back to vision-capable AI when the document is image-only.</w:t>
            </w:r>
          </w:p>
        </w:tc>
        <w:tc>
          <w:tcPr>
            <w:tcW w:type="dxa" w:w="3289"/>
            <w:vAlign w:val="top"/>
          </w:tcPr>
          <w:p>
            <w:r>
              <w:rPr>
                <w:sz w:val="19"/>
              </w:rPr>
              <w:t>The extracted fields appear next to the email, ready for CSR review if the case is held for approval.</w:t>
            </w:r>
          </w:p>
        </w:tc>
      </w:tr>
      <w:tr>
        <w:tc>
          <w:tcPr>
            <w:tcW w:type="dxa" w:w="3289"/>
            <w:vAlign w:val="top"/>
          </w:tcPr>
          <w:p>
            <w:r>
              <w:rPr>
                <w:sz w:val="19"/>
              </w:rPr>
              <w:t>4. Find the right records</w:t>
            </w:r>
          </w:p>
        </w:tc>
        <w:tc>
          <w:tcPr>
            <w:tcW w:type="dxa" w:w="3289"/>
            <w:vAlign w:val="top"/>
          </w:tcPr>
          <w:p>
            <w:r>
              <w:rPr>
                <w:sz w:val="19"/>
              </w:rPr>
              <w:t>The solution looks up the customer in Salesforce by email and by name. It checks for an existing CCC Request against the PO or WO number. It matches the product to the catalogue. Where Salesforce does not yet hold the customer, it triggers the standard CMD activation request your team uses today.</w:t>
            </w:r>
          </w:p>
        </w:tc>
        <w:tc>
          <w:tcPr>
            <w:tcW w:type="dxa" w:w="3289"/>
            <w:vAlign w:val="top"/>
          </w:tcPr>
          <w:p>
            <w:r>
              <w:rPr>
                <w:sz w:val="19"/>
              </w:rPr>
              <w:t>The CSR sees the linked Salesforce records directly inside the case view.</w:t>
            </w:r>
          </w:p>
        </w:tc>
      </w:tr>
      <w:tr>
        <w:tc>
          <w:tcPr>
            <w:tcW w:type="dxa" w:w="3289"/>
            <w:vAlign w:val="top"/>
          </w:tcPr>
          <w:p>
            <w:r>
              <w:rPr>
                <w:sz w:val="19"/>
              </w:rPr>
              <w:t>5. Decide how confident it is</w:t>
            </w:r>
          </w:p>
        </w:tc>
        <w:tc>
          <w:tcPr>
            <w:tcW w:type="dxa" w:w="3289"/>
            <w:vAlign w:val="top"/>
          </w:tcPr>
          <w:p>
            <w:r>
              <w:rPr>
                <w:sz w:val="19"/>
              </w:rPr>
              <w:t>Every request gets four independent confidence scores: did the AI classify it correctly, did it extract every required field, did it find the matching Salesforce record, and can the downstream action actually execute? This is the four-gate model your team described to us during the Q&amp;A. The lowest gate decides the path: high overall confidence means act, mid means one-click approve, low means full CSR review.</w:t>
            </w:r>
          </w:p>
        </w:tc>
        <w:tc>
          <w:tcPr>
            <w:tcW w:type="dxa" w:w="3289"/>
            <w:vAlign w:val="top"/>
          </w:tcPr>
          <w:p>
            <w:r>
              <w:rPr>
                <w:sz w:val="19"/>
              </w:rPr>
              <w:t>The CSR sees the four scores broken out, so they know exactly why the AI is asking for help.</w:t>
            </w:r>
          </w:p>
        </w:tc>
      </w:tr>
      <w:tr>
        <w:tc>
          <w:tcPr>
            <w:tcW w:type="dxa" w:w="3289"/>
            <w:vAlign w:val="top"/>
          </w:tcPr>
          <w:p>
            <w:r>
              <w:rPr>
                <w:sz w:val="19"/>
              </w:rPr>
              <w:t>6. Act and reply</w:t>
            </w:r>
          </w:p>
        </w:tc>
        <w:tc>
          <w:tcPr>
            <w:tcW w:type="dxa" w:w="3289"/>
            <w:vAlign w:val="top"/>
          </w:tcPr>
          <w:p>
            <w:r>
              <w:rPr>
                <w:sz w:val="19"/>
              </w:rPr>
              <w:t>On high confidence, the solution creates or updates the CCC Request, attaches the email to Docunet with Doc type FCNV, assigns the right owner per your routing rules, and drafts a customer-facing reply in the customer's language. On mid confidence it does all of that as a proposal and waits for one CSR click. On low confidence the full case sits in the review queue.</w:t>
            </w:r>
          </w:p>
        </w:tc>
        <w:tc>
          <w:tcPr>
            <w:tcW w:type="dxa" w:w="3289"/>
            <w:vAlign w:val="top"/>
          </w:tcPr>
          <w:p>
            <w:r>
              <w:rPr>
                <w:sz w:val="19"/>
              </w:rPr>
              <w:t>The customer hears back faster; the CSR works only on the cases that need a human.</w:t>
            </w:r>
          </w:p>
        </w:tc>
      </w:tr>
      <w:tr>
        <w:tc>
          <w:tcPr>
            <w:tcW w:type="dxa" w:w="3289"/>
            <w:vAlign w:val="top"/>
          </w:tcPr>
          <w:p>
            <w:r>
              <w:rPr>
                <w:sz w:val="19"/>
              </w:rPr>
              <w:t>7. Learn</w:t>
            </w:r>
          </w:p>
        </w:tc>
        <w:tc>
          <w:tcPr>
            <w:tcW w:type="dxa" w:w="3289"/>
            <w:vAlign w:val="top"/>
          </w:tcPr>
          <w:p>
            <w:r>
              <w:rPr>
                <w:sz w:val="19"/>
              </w:rPr>
              <w:t>Every CSR correction is captured and replayed as a candidate update to your rule book or your translation glossary. A drift detector watches the classification mix over time and alerts the team if something is shifting. Your operations dashboard shows the automation rate, accuracy, and exception trends.</w:t>
            </w:r>
          </w:p>
        </w:tc>
        <w:tc>
          <w:tcPr>
            <w:tcW w:type="dxa" w:w="3289"/>
            <w:vAlign w:val="top"/>
          </w:tcPr>
          <w:p>
            <w:r>
              <w:rPr>
                <w:sz w:val="19"/>
              </w:rPr>
              <w:t>Your team's corrections compound. The solution gets better at its job week over week.</w:t>
            </w:r>
          </w:p>
        </w:tc>
      </w:tr>
    </w:tbl>
    <w:p>
      <w:pPr>
        <w:pStyle w:val="Heading2"/>
        <w:spacing w:before="160" w:after="80"/>
      </w:pPr>
      <w:r>
        <w:rPr>
          <w:color w:val="131426"/>
        </w:rPr>
        <w:t>How the solution is built and where it runs (hybrid model)</w:t>
      </w:r>
    </w:p>
    <w:p>
      <w:pPr>
        <w:spacing w:after="80"/>
      </w:pPr>
      <w:r>
        <w:rPr>
          <w:b w:val="0"/>
          <w:i w:val="0"/>
          <w:sz w:val="21"/>
        </w:rPr>
        <w:t>We will follow a hybrid build-and-deploy model. The design and build phase runs inside ZBrain's Solution Builder — the visual orchestration surface that the Hackett team uses to wire the end-to-end agents (Intake, Extract, Reconcile, Decide, Execute, Communicate) against the knowledge bases, rule books, and integration channels described in this section. Solution Builder runs on the ZBrain platform tenancy The Hackett Group operates. Configuration work is driven jointly with Keysight's rule owners, not a code-from-scratch build.</w:t>
      </w:r>
    </w:p>
    <w:p>
      <w:pPr>
        <w:spacing w:after="80"/>
      </w:pPr>
      <w:r>
        <w:rPr>
          <w:b w:val="0"/>
          <w:i w:val="0"/>
          <w:sz w:val="21"/>
        </w:rPr>
        <w:t>Once built, the solution deploys separately onto Keysight's own infrastructure: AWS, per the Keysight cloud standard called out in Q&amp;A item 55. The deployed footprint carries the runtime versions of the same modules used during build — the Knowledge Base content, the Governance policies, the Monitor telemetry, and the agent runtime — all inside Keysight's VPC, behind Keysight's IAM, with the LLM endpoint bound to a private network path. Prompts, customer data, and audit trails never leave Keysight's boundary. Section 9 (Infrastructure) describes the deployment topology; Section 10 (Security and Governance) describes the runtime governance posture.</w:t>
      </w:r>
    </w:p>
    <w:p>
      <w:pPr>
        <w:pStyle w:val="Heading2"/>
        <w:spacing w:before="160" w:after="80"/>
      </w:pPr>
      <w:r>
        <w:rPr>
          <w:color w:val="131426"/>
        </w:rPr>
        <w:t>ZBrain modules that this solution uses</w:t>
      </w:r>
    </w:p>
    <w:tbl>
      <w:tblPr>
        <w:tblStyle w:val="LightGrid-Accent1"/>
        <w:tblW w:type="auto" w:w="0"/>
        <w:tblLook w:firstColumn="1" w:firstRow="1" w:lastColumn="0" w:lastRow="0" w:noHBand="0" w:noVBand="1" w:val="04A0"/>
      </w:tblPr>
      <w:tblGrid>
        <w:gridCol w:w="3118"/>
        <w:gridCol w:w="6236"/>
      </w:tblGrid>
      <w:tr>
        <w:tc>
          <w:tcPr>
            <w:tcW w:type="dxa" w:w="4933"/>
            <w:shd w:val="clear" w:color="auto" w:fill="1A55F9"/>
          </w:tcPr>
          <w:p>
            <w:r>
              <w:rPr>
                <w:b/>
                <w:color w:val="FFFFFF"/>
                <w:sz w:val="20"/>
              </w:rPr>
              <w:t>Topic</w:t>
            </w:r>
          </w:p>
        </w:tc>
        <w:tc>
          <w:tcPr>
            <w:tcW w:type="dxa" w:w="4933"/>
            <w:shd w:val="clear" w:color="auto" w:fill="1A55F9"/>
          </w:tcPr>
          <w:p>
            <w:r>
              <w:rPr>
                <w:b/>
                <w:color w:val="FFFFFF"/>
                <w:sz w:val="20"/>
              </w:rPr>
              <w:t>Approach</w:t>
            </w:r>
          </w:p>
        </w:tc>
      </w:tr>
      <w:tr>
        <w:tc>
          <w:tcPr>
            <w:tcW w:type="dxa" w:w="4933"/>
            <w:vAlign w:val="top"/>
          </w:tcPr>
          <w:p>
            <w:r>
              <w:rPr>
                <w:sz w:val="20"/>
              </w:rPr>
              <w:t>Solution Builder</w:t>
            </w:r>
          </w:p>
        </w:tc>
        <w:tc>
          <w:tcPr>
            <w:tcW w:type="dxa" w:w="4933"/>
            <w:vAlign w:val="top"/>
          </w:tcPr>
          <w:p>
            <w:r>
              <w:rPr>
                <w:sz w:val="20"/>
              </w:rPr>
              <w:t>The orchestration surface used to build the end-to-end agents for the seven RFP use cases. Hackett's engineers configure the agents in Solution Builder against Keysight's rule book; promotion through dev, UAT, and production is handled by the same Solution Builder release flow.</w:t>
            </w:r>
          </w:p>
        </w:tc>
      </w:tr>
      <w:tr>
        <w:tc>
          <w:tcPr>
            <w:tcW w:type="dxa" w:w="4933"/>
            <w:vAlign w:val="top"/>
          </w:tcPr>
          <w:p>
            <w:r>
              <w:rPr>
                <w:sz w:val="20"/>
              </w:rPr>
              <w:t>Knowledge Base module</w:t>
            </w:r>
          </w:p>
        </w:tc>
        <w:tc>
          <w:tcPr>
            <w:tcW w:type="dxa" w:w="4933"/>
            <w:vAlign w:val="top"/>
          </w:tcPr>
          <w:p>
            <w:r>
              <w:rPr>
                <w:sz w:val="20"/>
              </w:rPr>
              <w:t>Holds the intent definitions, routing rules, per-region operational overlays, magic-SKU and distributor tables, per-language glossaries, and reply templates. Editable by Keysight rule owners; re-read on every classification, so updates take effect without a developer release. The platform supports retrieval over structured grounding data, knowledge-graph traversal, and unstructured document search, per Keysight's Q&amp;A item 53 (all three RAG types required).</w:t>
            </w:r>
          </w:p>
        </w:tc>
      </w:tr>
      <w:tr>
        <w:tc>
          <w:tcPr>
            <w:tcW w:type="dxa" w:w="4933"/>
            <w:vAlign w:val="top"/>
          </w:tcPr>
          <w:p>
            <w:r>
              <w:rPr>
                <w:sz w:val="20"/>
              </w:rPr>
              <w:t>Governance module</w:t>
            </w:r>
          </w:p>
        </w:tc>
        <w:tc>
          <w:tcPr>
            <w:tcW w:type="dxa" w:w="4933"/>
            <w:vAlign w:val="top"/>
          </w:tcPr>
          <w:p>
            <w:r>
              <w:rPr>
                <w:sz w:val="20"/>
              </w:rPr>
              <w:t>Application-level governance for this solution: role-based access, allow-listed tool calls per agent, prompt-injection defences, citizenship-based access controls per Q&amp;A item 25, and policy enforcement at the agent boundary. Integration with Keysight's enterprise governance posture as it matures (today: Microsoft for SSO and RBAC, no enterprise governance fabric yet, per Q&amp;A item 55).</w:t>
            </w:r>
          </w:p>
        </w:tc>
      </w:tr>
      <w:tr>
        <w:tc>
          <w:tcPr>
            <w:tcW w:type="dxa" w:w="4933"/>
            <w:vAlign w:val="top"/>
          </w:tcPr>
          <w:p>
            <w:r>
              <w:rPr>
                <w:sz w:val="20"/>
              </w:rPr>
              <w:t>Monitor module</w:t>
            </w:r>
          </w:p>
        </w:tc>
        <w:tc>
          <w:tcPr>
            <w:tcW w:type="dxa" w:w="4933"/>
            <w:vAlign w:val="top"/>
          </w:tcPr>
          <w:p>
            <w:r>
              <w:rPr>
                <w:sz w:val="20"/>
              </w:rPr>
              <w:t>Real-time observability of every agent: classification mix, confidence distribution, per-gate pass rate, HITL queue depth, per-intent SLA adherence. The Monitor module is where the continuous-learning workflow surfaces correction opportunities, drift signals, and A/B candidates for promotion. The detail is in Implementation Approach 4.6 and AI/ML Capabilities 5.5.</w:t>
            </w:r>
          </w:p>
        </w:tc>
      </w:tr>
    </w:tbl>
    <w:p>
      <w:pPr>
        <w:pStyle w:val="Heading2"/>
        <w:spacing w:before="160" w:after="80"/>
      </w:pPr>
      <w:r>
        <w:rPr>
          <w:color w:val="131426"/>
        </w:rPr>
        <w:t>How the solution fits into Keysight's existing systems</w:t>
      </w:r>
    </w:p>
    <w:p>
      <w:pPr>
        <w:spacing w:after="80"/>
      </w:pPr>
      <w:r>
        <w:rPr>
          <w:b w:val="0"/>
          <w:i w:val="0"/>
          <w:sz w:val="21"/>
        </w:rPr>
        <w:t>Per Keysight's Q&amp;A items 2, 3, 4, 5, 6, 48, and 56, the integration surface for this engagement is the set of systems below. The solution is a well-behaved client to each; it does not replace any of them.</w:t>
      </w:r>
    </w:p>
    <w:tbl>
      <w:tblPr>
        <w:tblStyle w:val="LightGrid-Accent1"/>
        <w:tblW w:type="auto" w:w="0"/>
        <w:tblLook w:firstColumn="1" w:firstRow="1" w:lastColumn="0" w:lastRow="0" w:noHBand="0" w:noVBand="1" w:val="04A0"/>
      </w:tblPr>
      <w:tblGrid>
        <w:gridCol w:w="3118"/>
        <w:gridCol w:w="6236"/>
      </w:tblGrid>
      <w:tr>
        <w:tc>
          <w:tcPr>
            <w:tcW w:type="dxa" w:w="4933"/>
            <w:shd w:val="clear" w:color="auto" w:fill="1A55F9"/>
          </w:tcPr>
          <w:p>
            <w:r>
              <w:rPr>
                <w:b/>
                <w:color w:val="FFFFFF"/>
                <w:sz w:val="20"/>
              </w:rPr>
              <w:t>Topic</w:t>
            </w:r>
          </w:p>
        </w:tc>
        <w:tc>
          <w:tcPr>
            <w:tcW w:type="dxa" w:w="4933"/>
            <w:shd w:val="clear" w:color="auto" w:fill="1A55F9"/>
          </w:tcPr>
          <w:p>
            <w:r>
              <w:rPr>
                <w:b/>
                <w:color w:val="FFFFFF"/>
                <w:sz w:val="20"/>
              </w:rPr>
              <w:t>Approach</w:t>
            </w:r>
          </w:p>
        </w:tc>
      </w:tr>
      <w:tr>
        <w:tc>
          <w:tcPr>
            <w:tcW w:type="dxa" w:w="4933"/>
            <w:vAlign w:val="top"/>
          </w:tcPr>
          <w:p>
            <w:r>
              <w:rPr>
                <w:sz w:val="20"/>
              </w:rPr>
              <w:t>Salesforce (single global instance)</w:t>
            </w:r>
          </w:p>
        </w:tc>
        <w:tc>
          <w:tcPr>
            <w:tcW w:type="dxa" w:w="4933"/>
            <w:vAlign w:val="top"/>
          </w:tcPr>
          <w:p>
            <w:r>
              <w:rPr>
                <w:sz w:val="20"/>
              </w:rPr>
              <w:t>Primary service platform per Q&amp;A item 2. System of record for Account, Contact, Quote, Opportunity, CCC Request, custom Work Order application, and Order data. The solution reads and writes through standard Salesforce APIs.</w:t>
            </w:r>
          </w:p>
        </w:tc>
      </w:tr>
      <w:tr>
        <w:tc>
          <w:tcPr>
            <w:tcW w:type="dxa" w:w="4933"/>
            <w:vAlign w:val="top"/>
          </w:tcPr>
          <w:p>
            <w:r>
              <w:rPr>
                <w:sz w:val="20"/>
              </w:rPr>
              <w:t>Oracle EBS 12.2</w:t>
            </w:r>
          </w:p>
        </w:tc>
        <w:tc>
          <w:tcPr>
            <w:tcW w:type="dxa" w:w="4933"/>
            <w:vAlign w:val="top"/>
          </w:tcPr>
          <w:p>
            <w:r>
              <w:rPr>
                <w:sz w:val="20"/>
              </w:rPr>
              <w:t>Order Management and Supply Chain per Q&amp;A item 5. Reached exclusively through Jitterbit middleware per Q&amp;A item 56. Direct DB access and Informatica are not used for vendor integrations to Oracle EBS. We use Jitterbit the same way the existing Q2O flow (Salesforce to Oracle, per Q&amp;A item 10) already does.</w:t>
            </w:r>
          </w:p>
        </w:tc>
      </w:tr>
      <w:tr>
        <w:tc>
          <w:tcPr>
            <w:tcW w:type="dxa" w:w="4933"/>
            <w:vAlign w:val="top"/>
          </w:tcPr>
          <w:p>
            <w:r>
              <w:rPr>
                <w:sz w:val="20"/>
              </w:rPr>
              <w:t>Jitterbit middleware</w:t>
            </w:r>
          </w:p>
        </w:tc>
        <w:tc>
          <w:tcPr>
            <w:tcW w:type="dxa" w:w="4933"/>
            <w:vAlign w:val="top"/>
          </w:tcPr>
          <w:p>
            <w:r>
              <w:rPr>
                <w:sz w:val="20"/>
              </w:rPr>
              <w:t>Keysight's existing integration platform for Oracle EBS and DocuNet. The solution uses Jitterbit as a service; it does not introduce a parallel middleware.</w:t>
            </w:r>
          </w:p>
        </w:tc>
      </w:tr>
      <w:tr>
        <w:tc>
          <w:tcPr>
            <w:tcW w:type="dxa" w:w="4933"/>
            <w:vAlign w:val="top"/>
          </w:tcPr>
          <w:p>
            <w:r>
              <w:rPr>
                <w:sz w:val="20"/>
              </w:rPr>
              <w:t>Logik.io</w:t>
            </w:r>
          </w:p>
        </w:tc>
        <w:tc>
          <w:tcPr>
            <w:tcW w:type="dxa" w:w="4933"/>
            <w:vAlign w:val="top"/>
          </w:tcPr>
          <w:p>
            <w:r>
              <w:rPr>
                <w:sz w:val="20"/>
              </w:rPr>
              <w:t>CPQ engine for new-code sales per Q&amp;A item 3. Managed package in Salesforce but runs on its own platform with its own APIs (does not use the Salesforce data model). Renewals stay in Salesforce; this solution treats renewal-quote POs as out of scope per Q&amp;A item 7.</w:t>
            </w:r>
          </w:p>
        </w:tc>
      </w:tr>
      <w:tr>
        <w:tc>
          <w:tcPr>
            <w:tcW w:type="dxa" w:w="4933"/>
            <w:vAlign w:val="top"/>
          </w:tcPr>
          <w:p>
            <w:r>
              <w:rPr>
                <w:sz w:val="20"/>
              </w:rPr>
              <w:t>KSP (Keysight Support Portal)</w:t>
            </w:r>
          </w:p>
        </w:tc>
        <w:tc>
          <w:tcPr>
            <w:tcW w:type="dxa" w:w="4933"/>
            <w:vAlign w:val="top"/>
          </w:tcPr>
          <w:p>
            <w:r>
              <w:rPr>
                <w:sz w:val="20"/>
              </w:rPr>
              <w:t>Custom Keysight portal for customers to manage assets, cases, and work orders. Read-only self-service surface. WO status replies include the standard KSP pointer Keysight's CSRs use today.</w:t>
            </w:r>
          </w:p>
        </w:tc>
      </w:tr>
      <w:tr>
        <w:tc>
          <w:tcPr>
            <w:tcW w:type="dxa" w:w="4933"/>
            <w:vAlign w:val="top"/>
          </w:tcPr>
          <w:p>
            <w:r>
              <w:rPr>
                <w:sz w:val="20"/>
              </w:rPr>
              <w:t>KSM / DocuNet</w:t>
            </w:r>
          </w:p>
        </w:tc>
        <w:tc>
          <w:tcPr>
            <w:tcW w:type="dxa" w:w="4933"/>
            <w:vAlign w:val="top"/>
          </w:tcPr>
          <w:p>
            <w:r>
              <w:rPr>
                <w:sz w:val="20"/>
              </w:rPr>
              <w:t>Custom Keysight document store for POs, SOAs, and attachments. Reached via Jitterbit. Every email attached to a CCC Request is filed in DocuNet with Doc type FCNV per Keysight's existing convention.</w:t>
            </w:r>
          </w:p>
        </w:tc>
      </w:tr>
      <w:tr>
        <w:tc>
          <w:tcPr>
            <w:tcW w:type="dxa" w:w="4933"/>
            <w:vAlign w:val="top"/>
          </w:tcPr>
          <w:p>
            <w:r>
              <w:rPr>
                <w:sz w:val="20"/>
              </w:rPr>
              <w:t>Inspire</w:t>
            </w:r>
          </w:p>
        </w:tc>
        <w:tc>
          <w:tcPr>
            <w:tcW w:type="dxa" w:w="4933"/>
            <w:vAlign w:val="top"/>
          </w:tcPr>
          <w:p>
            <w:r>
              <w:rPr>
                <w:sz w:val="20"/>
              </w:rPr>
              <w:t>Keysight's custom pricing engine, deployed in AWS. Referenced for context; not in the integration scope for the seven RFP use cases.</w:t>
            </w:r>
          </w:p>
        </w:tc>
      </w:tr>
      <w:tr>
        <w:tc>
          <w:tcPr>
            <w:tcW w:type="dxa" w:w="4933"/>
            <w:vAlign w:val="top"/>
          </w:tcPr>
          <w:p>
            <w:r>
              <w:rPr>
                <w:sz w:val="20"/>
              </w:rPr>
              <w:t>ServiceNow</w:t>
            </w:r>
          </w:p>
        </w:tc>
        <w:tc>
          <w:tcPr>
            <w:tcW w:type="dxa" w:w="4933"/>
            <w:vAlign w:val="top"/>
          </w:tcPr>
          <w:p>
            <w:r>
              <w:rPr>
                <w:sz w:val="20"/>
              </w:rPr>
              <w:t>Keysight-owned reminder and follow-up workflow engine per Q&amp;A item 4. Keysight's dev team owns the ServiceNow side. The solution integrates as a consumer only and does not replace ServiceNow.</w:t>
            </w:r>
          </w:p>
        </w:tc>
      </w:tr>
      <w:tr>
        <w:tc>
          <w:tcPr>
            <w:tcW w:type="dxa" w:w="4933"/>
            <w:vAlign w:val="top"/>
          </w:tcPr>
          <w:p>
            <w:r>
              <w:rPr>
                <w:sz w:val="20"/>
              </w:rPr>
              <w:t>Microsoft Outlook</w:t>
            </w:r>
          </w:p>
        </w:tc>
        <w:tc>
          <w:tcPr>
            <w:tcW w:type="dxa" w:w="4933"/>
            <w:vAlign w:val="top"/>
          </w:tcPr>
          <w:p>
            <w:r>
              <w:rPr>
                <w:sz w:val="20"/>
              </w:rPr>
              <w:t>Inbound channel. Reads from every mailbox in scope (50 today per Q&amp;A item 12, with consolidation in progress but not complete by project end), applies Keysight's existing Outlook rules first, and back-stamps each handled email.</w:t>
            </w:r>
          </w:p>
        </w:tc>
      </w:tr>
      <w:tr>
        <w:tc>
          <w:tcPr>
            <w:tcW w:type="dxa" w:w="4933"/>
            <w:vAlign w:val="top"/>
          </w:tcPr>
          <w:p>
            <w:r>
              <w:rPr>
                <w:sz w:val="20"/>
              </w:rPr>
              <w:t>Microsoft Azure AD</w:t>
            </w:r>
          </w:p>
        </w:tc>
        <w:tc>
          <w:tcPr>
            <w:tcW w:type="dxa" w:w="4933"/>
            <w:vAlign w:val="top"/>
          </w:tcPr>
          <w:p>
            <w:r>
              <w:rPr>
                <w:sz w:val="20"/>
              </w:rPr>
              <w:t>Enterprise SSO and RBAC per Q&amp;A item 55. Operator login to the HITL portal and Knowledge Base authoring screens federates through Azure AD.</w:t>
            </w:r>
          </w:p>
        </w:tc>
      </w:tr>
      <w:tr>
        <w:tc>
          <w:tcPr>
            <w:tcW w:type="dxa" w:w="4933"/>
            <w:vAlign w:val="top"/>
          </w:tcPr>
          <w:p>
            <w:r>
              <w:rPr>
                <w:sz w:val="20"/>
              </w:rPr>
              <w:t>Cloudflare</w:t>
            </w:r>
          </w:p>
        </w:tc>
        <w:tc>
          <w:tcPr>
            <w:tcW w:type="dxa" w:w="4933"/>
            <w:vAlign w:val="top"/>
          </w:tcPr>
          <w:p>
            <w:r>
              <w:rPr>
                <w:sz w:val="20"/>
              </w:rPr>
              <w:t>Used by Keysight for any internet-exposed agents per Q&amp;A item 55. The solution's external surfaces inherit this posture.</w:t>
            </w:r>
          </w:p>
        </w:tc>
      </w:tr>
      <w:tr>
        <w:tc>
          <w:tcPr>
            <w:tcW w:type="dxa" w:w="4933"/>
            <w:vAlign w:val="top"/>
          </w:tcPr>
          <w:p>
            <w:r>
              <w:rPr>
                <w:sz w:val="20"/>
              </w:rPr>
              <w:t>Snowflake and BigQuery</w:t>
            </w:r>
          </w:p>
        </w:tc>
        <w:tc>
          <w:tcPr>
            <w:tcW w:type="dxa" w:w="4933"/>
            <w:vAlign w:val="top"/>
          </w:tcPr>
          <w:p>
            <w:r>
              <w:rPr>
                <w:sz w:val="20"/>
              </w:rPr>
              <w:t>Scattered enterprise data landscape per Q&amp;A item 54. No formal data fabric in place today. The solution does not assume one; integration with whichever data-fabric direction Keysight chooses is described in our Product Features 4.3 response.</w:t>
            </w:r>
          </w:p>
        </w:tc>
      </w:tr>
      <w:tr>
        <w:tc>
          <w:tcPr>
            <w:tcW w:type="dxa" w:w="4933"/>
            <w:vAlign w:val="top"/>
          </w:tcPr>
          <w:p>
            <w:r>
              <w:rPr>
                <w:sz w:val="20"/>
              </w:rPr>
              <w:t>Translation knowledge base</w:t>
            </w:r>
          </w:p>
        </w:tc>
        <w:tc>
          <w:tcPr>
            <w:tcW w:type="dxa" w:w="4933"/>
            <w:vAlign w:val="top"/>
          </w:tcPr>
          <w:p>
            <w:r>
              <w:rPr>
                <w:sz w:val="20"/>
              </w:rPr>
              <w:t>Keysight's existing translation asset is merged into the per-language glossary in the ZBrain Knowledge Base module at deployment, with SalesOps-specific term overrides added as needed per Q&amp;A item 26.</w:t>
            </w:r>
          </w:p>
        </w:tc>
      </w:tr>
    </w:tbl>
    <w:p>
      <w:pPr>
        <w:pStyle w:val="Heading2"/>
        <w:spacing w:before="160" w:after="80"/>
      </w:pPr>
      <w:r>
        <w:rPr>
          <w:color w:val="131426"/>
        </w:rPr>
        <w:t>Why ZBrain is the right platform for this</w:t>
      </w:r>
    </w:p>
    <w:p>
      <w:pPr>
        <w:spacing w:after="80"/>
      </w:pPr>
      <w:r>
        <w:rPr>
          <w:b w:val="0"/>
          <w:i w:val="0"/>
          <w:sz w:val="21"/>
        </w:rPr>
        <w:t>ZBrain is the Hackett-owned enterprise Agentic AI platform, built for exactly this class of problem: high-volume, multi-system, judgement-driven workflows where the AI must work alongside human experts rather than replace them. Under the hybrid model proposed here, design and build use ZBrain Solution Builder on the Hackett-operated platform tenancy, and the production solution deploys onto Keysight's own AWS infrastructure (the Keysight cloud standard per Q&amp;A item 55). The split addresses Keysight's Q&amp;A item 48 preference for SaaS-grade build ergonomics together with Q&amp;A item 31's question on deployment location: Keysight gets ZBrain's productivity at build time and full runtime ownership in production.</w:t>
      </w:r>
    </w:p>
    <w:p>
      <w:pPr>
        <w:spacing w:after="80"/>
      </w:pPr>
      <w:r>
        <w:rPr>
          <w:b w:val="0"/>
          <w:i w:val="0"/>
          <w:sz w:val="21"/>
        </w:rPr>
        <w:t>The platform is model-agnostic (Keysight can choose and switch between leading commercial or open-source models without rebuilding the solution, per Q&amp;A item 40), and configured rather than custom-coded for each new rule or intent. Knowledge Base content, Governance policies, and Monitor configurations authored in Solution Builder promote into Keysight's deployment through a single release pipeline. Operator-tunable Knowledge Bases mean Keysight's rule owners can update intents, routing rules, glossaries, and templates without a developer release cycle once the deployment is live in Keysight's infra.</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