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6B7280"/>
          <w:sz w:val="22"/>
        </w:rPr>
        <w:t>Section 3 of 13</w:t>
      </w:r>
    </w:p>
    <w:p>
      <w:pPr>
        <w:spacing w:after="40"/>
      </w:pPr>
      <w:r>
        <w:rPr>
          <w:b/>
          <w:color w:val="1A55F9"/>
          <w:sz w:val="44"/>
        </w:rPr>
        <w:t>Scope</w:t>
      </w:r>
    </w:p>
    <w:p>
      <w:pPr>
        <w:spacing w:after="240"/>
      </w:pPr>
      <w:r>
        <w:rPr>
          <w:i/>
          <w:color w:val="6B7280"/>
          <w:sz w:val="19"/>
        </w:rPr>
        <w:t>Keysight Technologies . Agentic AI for SalesOps RFP Response . The Hackett Group on ZBrain . Response date 2026-05-11</w:t>
      </w:r>
    </w:p>
    <w:p>
      <w:pPr>
        <w:pStyle w:val="Heading2"/>
        <w:spacing w:before="160" w:after="80"/>
      </w:pPr>
      <w:r>
        <w:rPr>
          <w:color w:val="131426"/>
        </w:rPr>
        <w:t>3.1 In scope: the seven use cases</w:t>
      </w:r>
    </w:p>
    <w:p>
      <w:pPr>
        <w:spacing w:after="80"/>
      </w:pPr>
      <w:r>
        <w:rPr>
          <w:b w:val="0"/>
          <w:i w:val="0"/>
          <w:sz w:val="21"/>
        </w:rPr>
        <w:t>The seven use case diagrams in the RFP define the inbound-request flows the solution handles end to end. Each one is a complete business outcome, not just a classification label. The solution covers the happy path plus the documented fallout and variant sub-paths drawn into each diagram.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What it covers today</w:t>
            </w:r>
          </w:p>
        </w:tc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What the solution will do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Trade Order Entry (PO Received)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manual Salesforce entry, AIOA partial PO validation, Trade CSR drives Q2O, Oracle EBS booking through Jitterbit, SOA generated by hand and emailed to the customer.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The whole flow end to end. SOA generated automatically and attached against the CCC; high-confidence cases publish on their own, mid-confidence cases get a one-click CSR approval, low-confidence cases sit in HITL.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Trade Sales Change Order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existing-CCC lookup, clone-for-Change-Order, delta-amount math, CSR updates Oracle through Jitterbit, manual customer notify.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Existing-CCC matrix automated across all ten statuses. Delta amount computed. Customer notification auto-drafted; CSR confirms with one click.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SOM Work Order Automation (single and multi-asset)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CCC shell, multi-asset clone loop (one CCC per asset), SOM CSR creates each WO and attaches the email by hand.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Multi-asset fan-out automated for the consistent-info case; ambiguous multi-asset cases route to an SOM CSR. WO creation, owner assignment, and email-attach all proceed automatically. CSR sees only the flagged cases.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SOM WO Update and Change Order (single and multi-asset)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match existing WO, AIOA validates the inbound PO, manual WO update and customer reply.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The AIOA validation pattern is preserved on the inbound PO. WO updates happen automatically. The customer reply is auto-drafted in the customer's language; CSR confirms when judgement is needed.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SOM WO Status and Inquiry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Salesforce lookup, manual reply with the standard KSP pointer, optional fallout CCC when the request cannot be answered cleanly.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Status lookup and customer-friendly reply auto-drafted. When the inquiry cannot be auto-answered (for example a cal-cert retrieval), the case is handed to a CSR with the context pre-populated.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Service Contracts (CCC Request Creation)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CCC shell, AIOA validates any attached PO, S+R CSR works the queue.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Quote vs Order request routing handled at intent classification. AIOA pass moves the case forward; AIOA fail routes the case to the S+R CSR queue with the failure reason pre-populated.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SSD Change Request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Manual classify, Post-Order-Booking CSR, factory-and-Oracle dashboard loop, manual customer notify on completion.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Trade Order Modification CCC auto-created with the right type and sub-type. Dashboard hooks integrate with the factory and Oracle steps. Customer notification drafted automatically when the CCC closes.</w:t>
            </w:r>
          </w:p>
        </w:tc>
      </w:tr>
    </w:tbl>
    <w:p>
      <w:pPr>
        <w:pStyle w:val="Heading2"/>
        <w:spacing w:before="160" w:after="80"/>
      </w:pPr>
      <w:r>
        <w:rPr>
          <w:color w:val="131426"/>
        </w:rPr>
        <w:t>3.2 Sub-case coverage detail (per use case)</w:t>
      </w:r>
    </w:p>
    <w:p>
      <w:pPr>
        <w:spacing w:after="80"/>
      </w:pPr>
      <w:r>
        <w:rPr>
          <w:b w:val="0"/>
          <w:i w:val="0"/>
          <w:sz w:val="21"/>
        </w:rPr>
        <w:t>Each of the seven diagrams in the RFP bundles a happy path plus several fallout and variant sub-paths. The solution covers every sub-path. The list below is the catalogue, with a short note on how each is handled.</w:t>
      </w:r>
    </w:p>
    <w:p>
      <w:pPr>
        <w:spacing w:after="80"/>
      </w:pPr>
      <w:r>
        <w:rPr>
          <w:b/>
          <w:i w:val="0"/>
          <w:sz w:val="21"/>
        </w:rPr>
        <w:t>Use case 1. Trade Order Entry (PO Received).</w:t>
      </w:r>
    </w:p>
    <w:p>
      <w:pPr>
        <w:pStyle w:val="ListBullet"/>
        <w:spacing w:after="40"/>
      </w:pPr>
      <w:r>
        <w:rPr>
          <w:sz w:val="21"/>
        </w:rPr>
        <w:t>Standard PO. The end-to-end happy path. SOA generated and published per the autonomy tier.</w:t>
      </w:r>
    </w:p>
    <w:p>
      <w:pPr>
        <w:pStyle w:val="ListBullet"/>
        <w:spacing w:after="40"/>
      </w:pPr>
      <w:r>
        <w:rPr>
          <w:sz w:val="21"/>
        </w:rPr>
        <w:t>PO accompanied by a quote (888 series). The existing Salesforce Opportunity is linked to the CCC during entity resolution.</w:t>
      </w:r>
    </w:p>
    <w:p>
      <w:pPr>
        <w:pStyle w:val="ListBullet"/>
        <w:spacing w:after="40"/>
      </w:pPr>
      <w:r>
        <w:rPr>
          <w:sz w:val="21"/>
        </w:rPr>
        <w:t>Standard-PO subtypes: Stock Rotation (quarterly partner), Rebates (monthly partner, negative order amount), eBiz (Keysight Used Equipment Store), SOW (Z-prefix SKU, EID, Custom Solutions), Prebuild, Amendment, Cancellation, Change Quantity, Duplicate PO, Confirm Orders. Each subtype carries its own field rules and routing convention; the solution applies them where the inbound mail matches.</w:t>
      </w:r>
    </w:p>
    <w:p>
      <w:pPr>
        <w:pStyle w:val="ListBullet"/>
        <w:spacing w:after="40"/>
      </w:pPr>
      <w:r>
        <w:rPr>
          <w:sz w:val="21"/>
        </w:rPr>
        <w:t>FCNV Fallout when extracted fields are incomplete. The case stays with FCNV until the missing fields are filled.</w:t>
      </w:r>
    </w:p>
    <w:p>
      <w:pPr>
        <w:pStyle w:val="ListBullet"/>
        <w:spacing w:after="40"/>
      </w:pPr>
      <w:r>
        <w:rPr>
          <w:sz w:val="21"/>
        </w:rPr>
        <w:t>Optional CSR review checkpoint after FCNV assignment. Configurable per region.</w:t>
      </w:r>
    </w:p>
    <w:p>
      <w:pPr>
        <w:pStyle w:val="ListBullet"/>
        <w:spacing w:after="40"/>
      </w:pPr>
      <w:r>
        <w:rPr>
          <w:sz w:val="21"/>
        </w:rPr>
        <w:t>AIOA Fallout when PO validation flags the PO data. The case enters the AI OA Fallout queue and returns to the pipeline after correction.</w:t>
      </w:r>
    </w:p>
    <w:p>
      <w:pPr>
        <w:pStyle w:val="ListBullet"/>
        <w:spacing w:after="40"/>
      </w:pPr>
      <w:r>
        <w:rPr>
          <w:sz w:val="21"/>
        </w:rPr>
        <w:t>Quote Update Fallout when the matched quote and the PO disagree on price, quantity, or terms. The CSR sees the field-level diff.</w:t>
      </w:r>
    </w:p>
    <w:p>
      <w:pPr>
        <w:pStyle w:val="ListBullet"/>
        <w:spacing w:after="40"/>
      </w:pPr>
      <w:r>
        <w:rPr>
          <w:sz w:val="21"/>
        </w:rPr>
        <w:t>Q2O Conversion Fallout when the Salesforce Quote-to-Order step itself errors. The CSR re-attempts with the failure logged for support.</w:t>
      </w:r>
    </w:p>
    <w:p>
      <w:pPr>
        <w:pStyle w:val="ListBullet"/>
        <w:spacing w:after="40"/>
      </w:pPr>
      <w:r>
        <w:rPr>
          <w:sz w:val="21"/>
        </w:rPr>
        <w:t>SOA review by the CSR before publish. The default tier for outbound SOAs is one-click CSR approval.</w:t>
      </w:r>
    </w:p>
    <w:p>
      <w:pPr>
        <w:spacing w:after="80"/>
      </w:pPr>
      <w:r>
        <w:rPr>
          <w:b/>
          <w:i w:val="0"/>
          <w:sz w:val="21"/>
        </w:rPr>
        <w:t>Use case 2. Trade Sales Change Order.</w:t>
      </w:r>
    </w:p>
    <w:p>
      <w:pPr>
        <w:pStyle w:val="ListBullet"/>
        <w:spacing w:after="40"/>
      </w:pPr>
      <w:r>
        <w:rPr>
          <w:sz w:val="21"/>
        </w:rPr>
        <w:t>Change Order against an existing CLOSED CCC. The CCC is cloned with a delta amount (new PO total minus old PO total), the Type field is set to Change Order, currency is matched, the Final Destination country is checked.</w:t>
      </w:r>
    </w:p>
    <w:p>
      <w:pPr>
        <w:pStyle w:val="ListBullet"/>
        <w:spacing w:after="40"/>
      </w:pPr>
      <w:r>
        <w:rPr>
          <w:sz w:val="21"/>
        </w:rPr>
        <w:t>FCNV Fallout when automation cannot reach a required field. The CSR completes the entry; the AI prefills the rest.</w:t>
      </w:r>
    </w:p>
    <w:p>
      <w:pPr>
        <w:pStyle w:val="ListBullet"/>
        <w:spacing w:after="40"/>
      </w:pPr>
      <w:r>
        <w:rPr>
          <w:sz w:val="21"/>
        </w:rPr>
        <w:t>Bill-to and Ship-to as different entities. The Account on the CCC uses the Bill-to; Assignment Lookup uses the Ship-to City and State.</w:t>
      </w:r>
    </w:p>
    <w:p>
      <w:pPr>
        <w:pStyle w:val="ListBullet"/>
        <w:spacing w:after="40"/>
      </w:pPr>
      <w:r>
        <w:rPr>
          <w:sz w:val="21"/>
        </w:rPr>
        <w:t>CSR updates the Existing Order in Oracle through Jitterbit. Retained as a CSR action because the Oracle write requires judgement; the AI prepares the proposed update for one-click confirmation.</w:t>
      </w:r>
    </w:p>
    <w:p>
      <w:pPr>
        <w:pStyle w:val="ListBullet"/>
        <w:spacing w:after="40"/>
      </w:pPr>
      <w:r>
        <w:rPr>
          <w:sz w:val="21"/>
        </w:rPr>
        <w:t>Customer update. The outbound message is auto-drafted in the customer's detected language.</w:t>
      </w:r>
    </w:p>
    <w:p>
      <w:pPr>
        <w:pStyle w:val="ListBullet"/>
        <w:spacing w:after="40"/>
      </w:pPr>
      <w:r>
        <w:rPr>
          <w:sz w:val="21"/>
        </w:rPr>
        <w:t>Closure. Once the customer confirms, the CSR moves the CCC to Closed.</w:t>
      </w:r>
    </w:p>
    <w:p>
      <w:pPr>
        <w:spacing w:after="80"/>
      </w:pPr>
      <w:r>
        <w:rPr>
          <w:b/>
          <w:i w:val="0"/>
          <w:sz w:val="21"/>
        </w:rPr>
        <w:t>Use case 3. SOM Work Order Automation (single and multi-asset).</w:t>
      </w:r>
    </w:p>
    <w:p>
      <w:pPr>
        <w:pStyle w:val="ListBullet"/>
        <w:spacing w:after="40"/>
      </w:pPr>
      <w:r>
        <w:rPr>
          <w:sz w:val="21"/>
        </w:rPr>
        <w:t>Single asset. One CCC, one WO created and assigned to the right SOM owner.</w:t>
      </w:r>
    </w:p>
    <w:p>
      <w:pPr>
        <w:pStyle w:val="ListBullet"/>
        <w:spacing w:after="40"/>
      </w:pPr>
      <w:r>
        <w:rPr>
          <w:sz w:val="21"/>
        </w:rPr>
        <w:t>Multi-asset, consistent information (same address, same customer). One CCC fans out to multiple WOs created from the same record.</w:t>
      </w:r>
    </w:p>
    <w:p>
      <w:pPr>
        <w:pStyle w:val="ListBullet"/>
        <w:spacing w:after="40"/>
      </w:pPr>
      <w:r>
        <w:rPr>
          <w:sz w:val="21"/>
        </w:rPr>
        <w:t>Multi-asset, inconsistent information (different addresses or different customer details). One CCC is assigned to an SOM CSR for manual fan-out, because automatic split is not safe.</w:t>
      </w:r>
    </w:p>
    <w:p>
      <w:pPr>
        <w:pStyle w:val="ListBullet"/>
        <w:spacing w:after="40"/>
      </w:pPr>
      <w:r>
        <w:rPr>
          <w:sz w:val="21"/>
        </w:rPr>
        <w:t>CMD lookup. Account and asset (Model and Serial) confirmed against CMD; missing master data triggers the standard CMD activation request your team uses today.</w:t>
      </w:r>
    </w:p>
    <w:p>
      <w:pPr>
        <w:pStyle w:val="ListBullet"/>
        <w:spacing w:after="40"/>
      </w:pPr>
      <w:r>
        <w:rPr>
          <w:sz w:val="21"/>
        </w:rPr>
        <w:t>System error during WO creation. The CCC reassigns to the SOM CSR queue with the failure cause logged.</w:t>
      </w:r>
    </w:p>
    <w:p>
      <w:pPr>
        <w:pStyle w:val="ListBullet"/>
        <w:spacing w:after="40"/>
      </w:pPr>
      <w:r>
        <w:rPr>
          <w:sz w:val="21"/>
        </w:rPr>
        <w:t>Manual SOM email-from-WO-back-to-email loop preserved as the exception path for routing corrections.</w:t>
      </w:r>
    </w:p>
    <w:p>
      <w:pPr>
        <w:pStyle w:val="ListBullet"/>
        <w:spacing w:after="40"/>
      </w:pPr>
      <w:r>
        <w:rPr>
          <w:sz w:val="21"/>
        </w:rPr>
        <w:t>Email filed in Docunet against the WO record with Doc type FCNV.</w:t>
      </w:r>
    </w:p>
    <w:p>
      <w:pPr>
        <w:pStyle w:val="ListBullet"/>
        <w:spacing w:after="40"/>
      </w:pPr>
      <w:r>
        <w:rPr>
          <w:sz w:val="21"/>
        </w:rPr>
        <w:t>CCC closed without a reply on successful automation, per Keysight's published convention.</w:t>
      </w:r>
    </w:p>
    <w:p>
      <w:pPr>
        <w:spacing w:after="80"/>
      </w:pPr>
      <w:r>
        <w:rPr>
          <w:b/>
          <w:i w:val="0"/>
          <w:sz w:val="21"/>
        </w:rPr>
        <w:t>Use case 4. SOM WO Update, Change Order, and multi-asset variants.</w:t>
      </w:r>
    </w:p>
    <w:p>
      <w:pPr>
        <w:pStyle w:val="ListBullet"/>
        <w:spacing w:after="40"/>
      </w:pPr>
      <w:r>
        <w:rPr>
          <w:sz w:val="21"/>
        </w:rPr>
        <w:t>WO Update against a single existing WO. Note and task added; the existing WO is modified in place.</w:t>
      </w:r>
    </w:p>
    <w:p>
      <w:pPr>
        <w:pStyle w:val="ListBullet"/>
        <w:spacing w:after="40"/>
      </w:pPr>
      <w:r>
        <w:rPr>
          <w:sz w:val="21"/>
        </w:rPr>
        <w:t>Change Order against an existing WO. The WO is updated with the delta data; the AIOA validation pattern runs on the inbound PO.</w:t>
      </w:r>
    </w:p>
    <w:p>
      <w:pPr>
        <w:pStyle w:val="ListBullet"/>
        <w:spacing w:after="40"/>
      </w:pPr>
      <w:r>
        <w:rPr>
          <w:sz w:val="21"/>
        </w:rPr>
        <w:t>Multi-asset update with consistent information. One CCC updates each WO referenced.</w:t>
      </w:r>
    </w:p>
    <w:p>
      <w:pPr>
        <w:pStyle w:val="ListBullet"/>
        <w:spacing w:after="40"/>
      </w:pPr>
      <w:r>
        <w:rPr>
          <w:sz w:val="21"/>
        </w:rPr>
        <w:t>Multi-asset update with inconsistent information. The case falls out to an SOM CSR for manual update.</w:t>
      </w:r>
    </w:p>
    <w:p>
      <w:pPr>
        <w:pStyle w:val="ListBullet"/>
        <w:spacing w:after="40"/>
      </w:pPr>
      <w:r>
        <w:rPr>
          <w:sz w:val="21"/>
        </w:rPr>
        <w:t>Inbound PO validation following the AIOA pattern. Flagged items enter the AI OA Fallout queue.</w:t>
      </w:r>
    </w:p>
    <w:p>
      <w:pPr>
        <w:pStyle w:val="ListBullet"/>
        <w:spacing w:after="40"/>
      </w:pPr>
      <w:r>
        <w:rPr>
          <w:sz w:val="21"/>
        </w:rPr>
        <w:t>Manual SOM email-from-WO-back-to-email loop preserved for routing corrections.</w:t>
      </w:r>
    </w:p>
    <w:p>
      <w:pPr>
        <w:pStyle w:val="ListBullet"/>
        <w:spacing w:after="40"/>
      </w:pPr>
      <w:r>
        <w:rPr>
          <w:sz w:val="21"/>
        </w:rPr>
        <w:t>Customer reply path where the update warrants one (schedule change, scope change). One-click CSR approval in the default tier.</w:t>
      </w:r>
    </w:p>
    <w:p>
      <w:pPr>
        <w:spacing w:after="80"/>
      </w:pPr>
      <w:r>
        <w:rPr>
          <w:b/>
          <w:i w:val="0"/>
          <w:sz w:val="21"/>
        </w:rPr>
        <w:t>Use case 5. SOM WO Status and Inquiry.</w:t>
      </w:r>
    </w:p>
    <w:p>
      <w:pPr>
        <w:pStyle w:val="ListBullet"/>
        <w:spacing w:after="40"/>
      </w:pPr>
      <w:r>
        <w:rPr>
          <w:sz w:val="21"/>
        </w:rPr>
        <w:t>Specific WO status request. Salesforce lookup of the named WO; reply drafted in customer-friendly language with the KSP pointer.</w:t>
      </w:r>
    </w:p>
    <w:p>
      <w:pPr>
        <w:pStyle w:val="ListBullet"/>
        <w:spacing w:after="40"/>
      </w:pPr>
      <w:r>
        <w:rPr>
          <w:sz w:val="21"/>
        </w:rPr>
        <w:t>General WO inquiry. WO details retrieved; reply drafted if the question is cleanly answerable; otherwise routed to a CSR.</w:t>
      </w:r>
    </w:p>
    <w:p>
      <w:pPr>
        <w:pStyle w:val="ListBullet"/>
        <w:spacing w:after="40"/>
      </w:pPr>
      <w:r>
        <w:rPr>
          <w:sz w:val="21"/>
        </w:rPr>
        <w:t>Cannot classify cleanly (minimum information to classify, no specific WO named). The CCC shell is created and assigned to FCNV for follow-up.</w:t>
      </w:r>
    </w:p>
    <w:p>
      <w:pPr>
        <w:pStyle w:val="ListBullet"/>
        <w:spacing w:after="40"/>
      </w:pPr>
      <w:r>
        <w:rPr>
          <w:sz w:val="21"/>
        </w:rPr>
        <w:t>Inquiry cannot be auto-replied (for example a cal-cert retrieval). The case is created and assigned to a CSR for full handling.</w:t>
      </w:r>
    </w:p>
    <w:p>
      <w:pPr>
        <w:pStyle w:val="ListBullet"/>
        <w:spacing w:after="40"/>
      </w:pPr>
      <w:r>
        <w:rPr>
          <w:sz w:val="21"/>
        </w:rPr>
        <w:t>Multiple WO references in one email. The reply contains a per-WO status block.</w:t>
      </w:r>
    </w:p>
    <w:p>
      <w:pPr>
        <w:spacing w:after="80"/>
      </w:pPr>
      <w:r>
        <w:rPr>
          <w:b/>
          <w:i w:val="0"/>
          <w:sz w:val="21"/>
        </w:rPr>
        <w:t>Use case 6. Service Contracts CCC Request Creation.</w:t>
      </w:r>
    </w:p>
    <w:p>
      <w:pPr>
        <w:pStyle w:val="ListBullet"/>
        <w:spacing w:after="40"/>
      </w:pPr>
      <w:r>
        <w:rPr>
          <w:sz w:val="21"/>
        </w:rPr>
        <w:t>Support Agreement Quote (multiple sub-types). The CCC opens with the appropriate status and stage and routes to the S+R Quote queue.</w:t>
      </w:r>
    </w:p>
    <w:p>
      <w:pPr>
        <w:pStyle w:val="ListBullet"/>
        <w:spacing w:after="40"/>
      </w:pPr>
      <w:r>
        <w:rPr>
          <w:sz w:val="21"/>
        </w:rPr>
        <w:t>Order Request (various Agreement sub-types). Same flow with Type set to Order Request; AIOA-pattern PO validation invoked if a PO is attached.</w:t>
      </w:r>
    </w:p>
    <w:p>
      <w:pPr>
        <w:pStyle w:val="ListBullet"/>
        <w:spacing w:after="40"/>
      </w:pPr>
      <w:r>
        <w:rPr>
          <w:sz w:val="21"/>
        </w:rPr>
        <w:t>FCNV Fallout when fields are missing. The case moves to Awaiting status with the missing fields surfaced in the review queue.</w:t>
      </w:r>
    </w:p>
    <w:p>
      <w:pPr>
        <w:pStyle w:val="ListBullet"/>
        <w:spacing w:after="40"/>
      </w:pPr>
      <w:r>
        <w:rPr>
          <w:sz w:val="21"/>
        </w:rPr>
        <w:t>CTA Scope fallout. The CTA reviews the technical specification before the case proceeds.</w:t>
      </w:r>
    </w:p>
    <w:p>
      <w:pPr>
        <w:pStyle w:val="ListBullet"/>
        <w:spacing w:after="40"/>
      </w:pPr>
      <w:r>
        <w:rPr>
          <w:sz w:val="21"/>
        </w:rPr>
        <w:t>AIOA Pass. The case moves to Assigned with stage Automation Complete; downstream S+R fulfilment begins.</w:t>
      </w:r>
    </w:p>
    <w:p>
      <w:pPr>
        <w:pStyle w:val="ListBullet"/>
        <w:spacing w:after="40"/>
      </w:pPr>
      <w:r>
        <w:rPr>
          <w:sz w:val="21"/>
        </w:rPr>
        <w:t>AIOA Fail. The case moves to Assigned with stage Review Required; the S+R CSR reviews via the AI OA Fallout queue.</w:t>
      </w:r>
    </w:p>
    <w:p>
      <w:pPr>
        <w:pStyle w:val="ListBullet"/>
        <w:spacing w:after="40"/>
      </w:pPr>
      <w:r>
        <w:rPr>
          <w:sz w:val="21"/>
        </w:rPr>
        <w:t>Begin process. The CCC is picked up by the S+R team for fulfilment.</w:t>
      </w:r>
    </w:p>
    <w:p>
      <w:pPr>
        <w:pStyle w:val="ListBullet"/>
        <w:spacing w:after="40"/>
      </w:pPr>
      <w:r>
        <w:rPr>
          <w:sz w:val="21"/>
        </w:rPr>
        <w:t>Renewal flow. Where the inbound is an agreement renewal request, the existing contract is looked up; if found, status transition; if not, treated as a new Quote.</w:t>
      </w:r>
    </w:p>
    <w:p>
      <w:pPr>
        <w:spacing w:after="80"/>
      </w:pPr>
      <w:r>
        <w:rPr>
          <w:b/>
          <w:i w:val="0"/>
          <w:sz w:val="21"/>
        </w:rPr>
        <w:t>Use case 7. SSD Change Request.</w:t>
      </w:r>
    </w:p>
    <w:p>
      <w:pPr>
        <w:pStyle w:val="ListBullet"/>
        <w:spacing w:after="40"/>
      </w:pPr>
      <w:r>
        <w:rPr>
          <w:sz w:val="21"/>
        </w:rPr>
        <w:t>Happy path. CCC auto-created with Request Type Trade Order Modification, sub-type SSD Change, owner mapped to the Sales Order Owner or Direct Inquiries in Oracle.</w:t>
      </w:r>
    </w:p>
    <w:p>
      <w:pPr>
        <w:pStyle w:val="ListBullet"/>
        <w:spacing w:after="40"/>
      </w:pPr>
      <w:r>
        <w:rPr>
          <w:sz w:val="21"/>
        </w:rPr>
        <w:t>FCNV Fallout when fields are missing. The case stays with FCNV until the extracted fields are complete.</w:t>
      </w:r>
    </w:p>
    <w:p>
      <w:pPr>
        <w:pStyle w:val="ListBullet"/>
        <w:spacing w:after="40"/>
      </w:pPr>
      <w:r>
        <w:rPr>
          <w:sz w:val="21"/>
        </w:rPr>
        <w:t>Add SSD request to the CSR dashboard. Notification dispatched to the CSR and the relevant factory.</w:t>
      </w:r>
    </w:p>
    <w:p>
      <w:pPr>
        <w:pStyle w:val="ListBullet"/>
        <w:spacing w:after="40"/>
      </w:pPr>
      <w:r>
        <w:rPr>
          <w:sz w:val="21"/>
        </w:rPr>
        <w:t>Factory prepares SSD and triggers the CSR from the dashboard. A human-in-loop bracket is preserved around the factory and Oracle interactions per the diagram.</w:t>
      </w:r>
    </w:p>
    <w:p>
      <w:pPr>
        <w:pStyle w:val="ListBullet"/>
        <w:spacing w:after="40"/>
      </w:pPr>
      <w:r>
        <w:rPr>
          <w:sz w:val="21"/>
        </w:rPr>
        <w:t>CCC interaction finalises SSD. The dashboard hook writes the change into Oracle through Jitterbit.</w:t>
      </w:r>
    </w:p>
    <w:p>
      <w:pPr>
        <w:pStyle w:val="ListBullet"/>
        <w:spacing w:after="40"/>
      </w:pPr>
      <w:r>
        <w:rPr>
          <w:sz w:val="21"/>
        </w:rPr>
        <w:t>Auto-close on completion. The CCC moves to Closed.</w:t>
      </w:r>
    </w:p>
    <w:p>
      <w:pPr>
        <w:pStyle w:val="ListBullet"/>
        <w:spacing w:after="40"/>
      </w:pPr>
      <w:r>
        <w:rPr>
          <w:sz w:val="21"/>
        </w:rPr>
        <w:t>Customer notification. The outbound message is auto-drafted on close; CSR one-click publish in the default tier.</w:t>
      </w:r>
    </w:p>
    <w:p>
      <w:pPr>
        <w:pStyle w:val="Heading2"/>
        <w:spacing w:before="160" w:after="80"/>
      </w:pPr>
      <w:r>
        <w:rPr>
          <w:color w:val="131426"/>
        </w:rPr>
        <w:t>3.3 Out of scope</w:t>
      </w:r>
    </w:p>
    <w:p>
      <w:pPr>
        <w:spacing w:after="80"/>
      </w:pPr>
      <w:r>
        <w:rPr>
          <w:b w:val="0"/>
          <w:i w:val="0"/>
          <w:sz w:val="21"/>
        </w:rPr>
        <w:t>The list below pins what is explicitly out of scope for this engagement, with the Q&amp;A clarification reference where one applies.</w:t>
      </w:r>
    </w:p>
    <w:p>
      <w:pPr>
        <w:pStyle w:val="ListBullet"/>
        <w:spacing w:after="40"/>
      </w:pPr>
      <w:r>
        <w:rPr>
          <w:sz w:val="21"/>
        </w:rPr>
        <w:t>Renewal-quote PO workflow automation (per Q&amp;A item 7). Email classification is in scope for all requests, but workflow automation for renewal-quote POs is not in this phase. Renewal-quote POs route to a manual CSR via a CCC request after classification.</w:t>
      </w:r>
    </w:p>
    <w:p>
      <w:pPr>
        <w:pStyle w:val="ListBullet"/>
        <w:spacing w:after="40"/>
      </w:pPr>
      <w:r>
        <w:rPr>
          <w:sz w:val="21"/>
        </w:rPr>
        <w:t>Q2O (Quote-to-Order) workflow automation in Oracle (per Q&amp;A item 10). The Salesforce-to-Oracle Q2O path already runs through Jitterbit at Keysight today; the solution does not rebuild it. The solution does classify and prepare the Q2O case, then hands off to the existing Q2O middleware flow.</w:t>
      </w:r>
    </w:p>
    <w:p>
      <w:pPr>
        <w:pStyle w:val="ListBullet"/>
        <w:spacing w:after="40"/>
      </w:pPr>
      <w:r>
        <w:rPr>
          <w:sz w:val="21"/>
        </w:rPr>
        <w:t>ITAR, GovCloud, and FedRAMP-scoped deployments (per Q&amp;A item 8). Out of scope for this phase. The solution must still apply citizenship-based routing on US-government-customer email at the mailbox door per Q&amp;A item 25, so that traffic is shielded from non-US-citizen access.</w:t>
      </w:r>
    </w:p>
    <w:p>
      <w:pPr>
        <w:pStyle w:val="ListBullet"/>
        <w:spacing w:after="40"/>
      </w:pPr>
      <w:r>
        <w:rPr>
          <w:sz w:val="21"/>
        </w:rPr>
        <w:t>Channels other than email (per Q&amp;A item 9). EDI, fax, and multi-channel order entry are handled separately at Keysight and are not in this RFP.</w:t>
      </w:r>
    </w:p>
    <w:p>
      <w:pPr>
        <w:pStyle w:val="ListBullet"/>
        <w:spacing w:after="40"/>
      </w:pPr>
      <w:r>
        <w:rPr>
          <w:sz w:val="21"/>
        </w:rPr>
        <w:t>Direct database access or Informatica integrations to Oracle EBS (per Q&amp;A item 56). Oracle EBS is reached exclusively through Jitterbit.</w:t>
      </w:r>
    </w:p>
    <w:p>
      <w:pPr>
        <w:pStyle w:val="ListBullet"/>
        <w:spacing w:after="40"/>
      </w:pPr>
      <w:r>
        <w:rPr>
          <w:sz w:val="21"/>
        </w:rPr>
        <w:t>Building a new customer-facing portal. Keysight Support Portal stays as the customer's read-only self-service surface.</w:t>
      </w:r>
    </w:p>
    <w:p>
      <w:pPr>
        <w:pStyle w:val="ListBullet"/>
        <w:spacing w:after="40"/>
      </w:pPr>
      <w:r>
        <w:rPr>
          <w:sz w:val="21"/>
        </w:rPr>
        <w:t>Building a new ServiceNow workflow (per Q&amp;A item 4). ServiceNow is Keysight-owned; the solution integrates as a consumer only.</w:t>
      </w:r>
    </w:p>
    <w:p>
      <w:pPr>
        <w:pStyle w:val="ListBullet"/>
        <w:spacing w:after="40"/>
      </w:pPr>
      <w:r>
        <w:rPr>
          <w:sz w:val="21"/>
        </w:rPr>
        <w:t>Replacing Salesforce or Oracle EBS. Both stay as systems of record; the solution is a well-behaved client.</w:t>
      </w:r>
    </w:p>
    <w:p>
      <w:pPr>
        <w:pStyle w:val="ListBullet"/>
        <w:spacing w:after="40"/>
      </w:pPr>
      <w:r>
        <w:rPr>
          <w:sz w:val="21"/>
        </w:rPr>
        <w:t>Handling the classified or government-controlled environment itself. The solution routes eligible emails to the existing KSO queue; what happens inside that environment is out of our scope.</w:t>
      </w:r>
    </w:p>
    <w:p>
      <w:pPr>
        <w:pStyle w:val="ListBullet"/>
        <w:spacing w:after="40"/>
      </w:pPr>
      <w:r>
        <w:rPr>
          <w:sz w:val="21"/>
        </w:rPr>
        <w:t>Low-volume sub-types Keysight has already chosen to defer (for example Consumption Billing).</w:t>
      </w:r>
    </w:p>
    <w:p>
      <w:pPr>
        <w:pStyle w:val="ListBullet"/>
        <w:spacing w:after="40"/>
      </w:pPr>
      <w:r>
        <w:rPr>
          <w:sz w:val="21"/>
        </w:rPr>
        <w:t>Replacing Microsoft Outlook as the mailbox layer. The solution reads from your existing mailboxes and back-stamps folders; the mailbox infrastructure itself is unchanged.</w:t>
      </w:r>
    </w:p>
    <w:p>
      <w:pPr>
        <w:pStyle w:val="Heading2"/>
        <w:spacing w:before="160" w:after="80"/>
      </w:pPr>
      <w:r>
        <w:rPr>
          <w:color w:val="131426"/>
        </w:rPr>
        <w:t>3.4 Assumptions</w:t>
      </w:r>
    </w:p>
    <w:p>
      <w:pPr>
        <w:pStyle w:val="ListBullet"/>
        <w:spacing w:after="40"/>
      </w:pPr>
      <w:r>
        <w:rPr>
          <w:sz w:val="21"/>
        </w:rPr>
        <w:t>Salesforce is a single global instance with API access per Q&amp;A item 6. Keysight provides OAuth credentials and the CCC Request custom-object schema.</w:t>
      </w:r>
    </w:p>
    <w:p>
      <w:pPr>
        <w:pStyle w:val="ListBullet"/>
        <w:spacing w:after="40"/>
      </w:pPr>
      <w:r>
        <w:rPr>
          <w:sz w:val="21"/>
        </w:rPr>
        <w:t>Oracle EBS 12.2 is reached exclusively through Jitterbit per Q&amp;A item 56. Keysight provides Jitterbit endpoint definitions, authentication, and the field mappings already used between Salesforce and Oracle.</w:t>
      </w:r>
    </w:p>
    <w:p>
      <w:pPr>
        <w:pStyle w:val="ListBullet"/>
        <w:spacing w:after="40"/>
      </w:pPr>
      <w:r>
        <w:rPr>
          <w:sz w:val="21"/>
        </w:rPr>
        <w:t>Microsoft Outlook is reachable through standard IMAP and Microsoft Graph. The solution operates transparently across the current 50 mailboxes (per Q&amp;A item 12), reading all of them and applying the appropriate rule set as consolidation proceeds.</w:t>
      </w:r>
    </w:p>
    <w:p>
      <w:pPr>
        <w:pStyle w:val="ListBullet"/>
        <w:spacing w:after="40"/>
      </w:pPr>
      <w:r>
        <w:rPr>
          <w:sz w:val="21"/>
        </w:rPr>
        <w:t>Keysight's existing translation knowledge base is available to be merged into the per-language glossary at deployment per Q&amp;A item 26. Enterprise systems remain English; translation happens at the email-processing layer per Q&amp;A item 27.</w:t>
      </w:r>
    </w:p>
    <w:p>
      <w:pPr>
        <w:pStyle w:val="ListBullet"/>
        <w:spacing w:after="40"/>
      </w:pPr>
      <w:r>
        <w:rPr>
          <w:sz w:val="21"/>
        </w:rPr>
        <w:t>The deployment topology mirrors the ZBrain reference architecture (Section 9): AWS-hosted services (the Keysight standard per Q&amp;A item 55), Azure AD for SSO and RBAC per Q&amp;A item 55, Cloudflare for any internet-exposed agents per Q&amp;A item 55, Azure Open AI as the LLM service (Keysight has no in-house custom LLM per Q&amp;A item 51), Jenkins plus Bitbucket as the build toolchain. The enterprise governance toolchain is Keysight's choice; today Keysight does not operate a Purview-equivalent enterprise governance fabric per Q&amp;A item 55, so application-level governance ships with the ZBrain Governance module and integrates with enterprise tooling as Keysight adopts it.</w:t>
      </w:r>
    </w:p>
    <w:p>
      <w:pPr>
        <w:pStyle w:val="ListBullet"/>
        <w:spacing w:after="40"/>
      </w:pPr>
      <w:r>
        <w:rPr>
          <w:sz w:val="21"/>
        </w:rPr>
        <w:t>Volume baseline per Keysight's Q&amp;A (item 11): approximately 880 thousand emails per year, around 2,000 per day, with quarter-end and year-end bursts. Single email payloads typically run one to twenty MB including attachments. Solution sizing is anchored to the upper end of that range.</w:t>
      </w:r>
    </w:p>
    <w:p>
      <w:pPr>
        <w:pStyle w:val="ListBullet"/>
        <w:spacing w:after="40"/>
      </w:pPr>
      <w:r>
        <w:rPr>
          <w:sz w:val="21"/>
        </w:rPr>
        <w:t>User concurrency baseline per Q&amp;A item 17: 600 to 700 total users across global sales operations, with 80 to 90 concurrent on this workflow at any moment, ramping during quarter-end and year-end.</w:t>
      </w:r>
    </w:p>
    <w:p>
      <w:pPr>
        <w:pStyle w:val="ListBullet"/>
        <w:spacing w:after="40"/>
      </w:pPr>
      <w:r>
        <w:rPr>
          <w:sz w:val="21"/>
        </w:rPr>
        <w:t>Four regions in scope per Q&amp;A item 23: Americas, Europe, Asia-Pac, Japan. Single global rule book is the target; regional overrides (including Japan-specific fields) carried as configuration overlays.</w:t>
      </w:r>
    </w:p>
    <w:p>
      <w:pPr>
        <w:pStyle w:val="ListBullet"/>
        <w:spacing w:after="40"/>
      </w:pPr>
      <w:r>
        <w:rPr>
          <w:sz w:val="21"/>
        </w:rPr>
        <w:t>Language coverage follows the RFP list with the duplicate Spanish entry removed per Q&amp;A item 52 (English, Canadian French and standard French, Spanish, Brazilian Portuguese, Korean, Simplified Chinese, Traditional Chinese, Vietnamese, Dutch, Swedish, Danish, Finnish, German, Italian, Czech, Japanese). Regional-language breakdown to follow as a Keysight addendum.</w:t>
      </w:r>
    </w:p>
    <w:p>
      <w:pPr>
        <w:pStyle w:val="ListBullet"/>
        <w:spacing w:after="40"/>
      </w:pPr>
      <w:r>
        <w:rPr>
          <w:sz w:val="21"/>
        </w:rPr>
        <w:t>ITAR, GovCloud, and FedRAMP workloads are out of scope for this phase per Q&amp;A item 8. Capability statement is included for future planning; the solution must still apply citizenship-based routing on US-government-customer email at the mailbox door (per Q&amp;A item 25), so that traffic is shielded from non-US-citizen access at all reasoning, logging, and replay surfaces.</w:t>
      </w:r>
    </w:p>
    <w:p>
      <w:pPr>
        <w:pStyle w:val="Heading2"/>
        <w:spacing w:before="160" w:after="80"/>
      </w:pPr>
      <w:r>
        <w:rPr>
          <w:color w:val="131426"/>
        </w:rPr>
        <w:t>3.5 Risks and how we manage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Likelihood and impact</w:t>
            </w:r>
          </w:p>
        </w:tc>
        <w:tc>
          <w:tcPr>
            <w:tcW w:type="dxa" w:w="3289"/>
            <w:shd w:val="clear" w:color="auto" w:fill="1A55F9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Classification drift as Keysight's email mix evolves.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Medium probability, high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A drift detector watches the rolling baseline and alerts the team. CSR corrections are captured and replayed as proposed rule updates, so the rule book stays current.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Hard-to-parse attachments (Outlook items embedded as files, animated images, very long filenames).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High probability, medium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Outlook item attachments are unrolled to surface the inner email. Vision-capable AI handles image-only PDFs. Long filenames are normalised. Low-confidence extractions land in the human-in-the-loop queue with the source attachment shown.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Multi-asset emails. One CCC per asset rather than one per email.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High probability, medium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Asset detection at extraction time; fan-out when the per-asset information is consistent; CSR hand-off when it is not. Mirrors the rule documented in your published process.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Distributor routing mistakes (standard customer ordering distributor product).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Medium probability, high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Distributor list and magic-SKU resolver applied at routing time. CSR sees a clear flag if the account and SKU disagree.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Mailbox consolidation timing during the transition from approximately 50 mailboxes to 1 or 2.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Low probability, medium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The solution is mailbox-agnostic. Classification and routing do not depend on the mailbox of origin. Region metadata is preserved per mailbox.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Government and restricted-customer compliance.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Low probability, high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The KSO redirect fires before any AI reads the body. Compliance audit trail is retained immutably.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LLM provider outage or rate limit.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Low probability, high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Model-agnostic configuration with primary-and-secondary failover. The deterministic Outlook rules and the human-in-the-loop queue remain available in degraded mode.</w:t>
            </w:r>
          </w:p>
        </w:tc>
      </w:tr>
      <w:tr>
        <w:tc>
          <w:tcPr>
            <w:tcW w:type="dxa" w:w="3289"/>
            <w:vAlign w:val="top"/>
          </w:tcPr>
          <w:p>
            <w:r>
              <w:rPr>
                <w:sz w:val="19"/>
              </w:rPr>
              <w:t>Volume spikes at quarter-end and year-end.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Annual, high impact</w:t>
            </w:r>
          </w:p>
        </w:tc>
        <w:tc>
          <w:tcPr>
            <w:tcW w:type="dxa" w:w="3289"/>
            <w:vAlign w:val="top"/>
          </w:tcPr>
          <w:p>
            <w:r>
              <w:rPr>
                <w:sz w:val="19"/>
              </w:rPr>
              <w:t>Queue-based intake with horizontal worker scaling. The baseline is roughly 2,000 emails per day (Q&amp;A item 11); stress-test target is 50x baseline (100,000 emails per day sustained for 24 hours) with the worker pool elastic-scaling on queue depth, so Q-end and year-end bursts absorb in the queue rather than back-pressure into the mailbox layer.</w:t>
            </w:r>
          </w:p>
        </w:tc>
      </w:tr>
    </w:tbl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