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color w:val="6B7280"/>
          <w:sz w:val="22"/>
        </w:rPr>
        <w:t>Section 4 of 13</w:t>
      </w:r>
    </w:p>
    <w:p>
      <w:pPr>
        <w:spacing w:after="40"/>
      </w:pPr>
      <w:r>
        <w:rPr>
          <w:b/>
          <w:color w:val="1A55F9"/>
          <w:sz w:val="44"/>
        </w:rPr>
        <w:t>Implementation Approach</w:t>
      </w:r>
    </w:p>
    <w:p>
      <w:pPr>
        <w:spacing w:after="240"/>
      </w:pPr>
      <w:r>
        <w:rPr>
          <w:i/>
          <w:color w:val="6B7280"/>
          <w:sz w:val="19"/>
        </w:rPr>
        <w:t>Keysight Technologies . Agentic AI for SalesOps RFP Response . The Hackett Group on ZBrain . Response date 2026-05-11</w:t>
      </w:r>
    </w:p>
    <w:p>
      <w:pPr>
        <w:pStyle w:val="Heading2"/>
        <w:spacing w:before="160" w:after="80"/>
      </w:pPr>
      <w:r>
        <w:rPr>
          <w:color w:val="131426"/>
        </w:rPr>
        <w:t>4.0 Our approach in one paragraph</w:t>
      </w:r>
    </w:p>
    <w:p>
      <w:pPr>
        <w:spacing w:after="80"/>
      </w:pPr>
      <w:r>
        <w:rPr>
          <w:b w:val="0"/>
          <w:i w:val="0"/>
          <w:sz w:val="21"/>
        </w:rPr>
        <w:t>This engagement begins from a configured baseline. The Hackett Group has built Version 1 of the solution on the ZBrain platform. Version 1 covers all seven RFP use cases and the documented sub-paths, configured against our reading of the AS-IS process. Version 1 is not the production solution; it is a working baseline that serves as the input to Requirement Finalization, not the output of MVP Build. Across the ten-week engagement, Version 1 is adapted to Keysight's specific inbox patterns, rule book, translation knowledge base, and operational data. From MVP Build onward the work is tuning a system that already exists, not building one from scratch. This is what allows delivery of a working production pilot in ten weeks, against a green-field timeline that typically requires sixteen to twenty.</w:t>
      </w:r>
    </w:p>
    <w:p>
      <w:pPr>
        <w:pStyle w:val="Heading2"/>
        <w:spacing w:before="160" w:after="80"/>
      </w:pPr>
      <w:r>
        <w:rPr>
          <w:color w:val="131426"/>
        </w:rPr>
        <w:t>4.1 Methodology</w:t>
      </w:r>
    </w:p>
    <w:p>
      <w:pPr>
        <w:spacing w:after="80"/>
      </w:pPr>
      <w:r>
        <w:rPr>
          <w:b w:val="0"/>
          <w:i w:val="0"/>
          <w:sz w:val="21"/>
        </w:rPr>
        <w:t>Delivery follows Hackett's AI Development Methodology, applied on every ZBrain enterprise engagement. The methodology has five named phases: Functional Design, Visual and Technical Design, MVP Development, Testing and Deployment, and Continuous Improvement. These compress into a ten-week engagement structured as a four-week Requirement Finalization phase, a four-week MVP Build phase, and a two-week Testing and Tuning phase. Each phase concludes with a working increment and an acceptance gate signed off by Keysight's named rule owners.</w:t>
      </w:r>
    </w:p>
    <w:p>
      <w:pPr>
        <w:pStyle w:val="Heading2"/>
        <w:spacing w:before="160" w:after="80"/>
      </w:pPr>
      <w:r>
        <w:rPr>
          <w:color w:val="131426"/>
        </w:rPr>
        <w:t>4.2 The ten-week journey</w:t>
      </w:r>
    </w:p>
    <w:tbl>
      <w:tblPr>
        <w:tblStyle w:val="LightGrid-Accent1"/>
        <w:tblW w:type="auto" w:w="0"/>
        <w:tblLook w:firstColumn="1" w:firstRow="1" w:lastColumn="0" w:lastRow="0" w:noHBand="0" w:noVBand="1" w:val="04A0"/>
      </w:tblPr>
      <w:tblGrid>
        <w:gridCol w:w="3289"/>
        <w:gridCol w:w="3289"/>
        <w:gridCol w:w="3289"/>
      </w:tblGrid>
      <w:tr>
        <w:tc>
          <w:tcPr>
            <w:tcW w:type="dxa" w:w="3289"/>
            <w:shd w:val="clear" w:color="auto" w:fill="1A55F9"/>
          </w:tcPr>
          <w:p>
            <w:r>
              <w:rPr>
                <w:b/>
                <w:color w:val="FFFFFF"/>
                <w:sz w:val="20"/>
              </w:rPr>
              <w:t>Phase</w:t>
            </w:r>
          </w:p>
        </w:tc>
        <w:tc>
          <w:tcPr>
            <w:tcW w:type="dxa" w:w="3289"/>
            <w:shd w:val="clear" w:color="auto" w:fill="1A55F9"/>
          </w:tcPr>
          <w:p>
            <w:r>
              <w:rPr>
                <w:b/>
                <w:color w:val="FFFFFF"/>
                <w:sz w:val="20"/>
              </w:rPr>
              <w:t>Weeks</w:t>
            </w:r>
          </w:p>
        </w:tc>
        <w:tc>
          <w:tcPr>
            <w:tcW w:type="dxa" w:w="3289"/>
            <w:shd w:val="clear" w:color="auto" w:fill="1A55F9"/>
          </w:tcPr>
          <w:p>
            <w:r>
              <w:rPr>
                <w:b/>
                <w:color w:val="FFFFFF"/>
                <w:sz w:val="20"/>
              </w:rPr>
              <w:t>What ships at the end</w:t>
            </w:r>
          </w:p>
        </w:tc>
      </w:tr>
      <w:tr>
        <w:tc>
          <w:tcPr>
            <w:tcW w:type="dxa" w:w="3289"/>
            <w:vAlign w:val="top"/>
          </w:tcPr>
          <w:p>
            <w:r>
              <w:rPr>
                <w:sz w:val="19"/>
              </w:rPr>
              <w:t>Requirement Finalization</w:t>
            </w:r>
          </w:p>
        </w:tc>
        <w:tc>
          <w:tcPr>
            <w:tcW w:type="dxa" w:w="3289"/>
            <w:vAlign w:val="top"/>
          </w:tcPr>
          <w:p>
            <w:r>
              <w:rPr>
                <w:sz w:val="19"/>
              </w:rPr>
              <w:t>Weeks 1 to 4</w:t>
            </w:r>
          </w:p>
        </w:tc>
        <w:tc>
          <w:tcPr>
            <w:tcW w:type="dxa" w:w="3289"/>
            <w:vAlign w:val="top"/>
          </w:tcPr>
          <w:p>
            <w:r>
              <w:rPr>
                <w:sz w:val="19"/>
              </w:rPr>
              <w:t>Four weeks of joint working sessions with Keysight's named rule owners. Every use case and sub-path is reviewed against Version 1, deltas against current operations are captured, and the build backlog is locked. Outputs are signed-off intent definitions, Outlook pre-screen rules, routing rules and operational rule book, per-intent extraction schemas and per-region overlays, and the integration boundary with Salesforce, Jitterbit (the channel to Oracle EBS and DocuNet), Microsoft Outlook through Microsoft Graph, and Azure AD. Dev environment provisioned in Keysight's AWS account. Version 1 executes against an initial slice of Keysight data with accuracy reported by intent, language, and region. The Functional Design document is signed by Keysight's named rule owners.</w:t>
            </w:r>
          </w:p>
        </w:tc>
      </w:tr>
      <w:tr>
        <w:tc>
          <w:tcPr>
            <w:tcW w:type="dxa" w:w="3289"/>
            <w:vAlign w:val="top"/>
          </w:tcPr>
          <w:p>
            <w:r>
              <w:rPr>
                <w:sz w:val="19"/>
              </w:rPr>
              <w:t>MVP Build</w:t>
            </w:r>
          </w:p>
        </w:tc>
        <w:tc>
          <w:tcPr>
            <w:tcW w:type="dxa" w:w="3289"/>
            <w:vAlign w:val="top"/>
          </w:tcPr>
          <w:p>
            <w:r>
              <w:rPr>
                <w:sz w:val="19"/>
              </w:rPr>
              <w:t>Weeks 5 to 8</w:t>
            </w:r>
          </w:p>
        </w:tc>
        <w:tc>
          <w:tcPr>
            <w:tcW w:type="dxa" w:w="3289"/>
            <w:vAlign w:val="top"/>
          </w:tcPr>
          <w:p>
            <w:r>
              <w:rPr>
                <w:sz w:val="19"/>
              </w:rPr>
              <w:t>Four-week build phase that adapts Version 1 to Keysight's data and rule book across all seven RFP use cases end to end. Operator HITL portal, Knowledge Base authoring screens, and the four-gate confidence model are live. Existing-CCC matrix verified across all ten statuses. Routing resolver complete: distributor list, magic-SKU table, FE and CSR override detection, region-aware overlays, citizenship-based KSO routing. Customer reply drafting executes in the customer's detected language. Oracle EBS write-back through Jitterbit operates against Keysight's existing field mappings. ZBrain Governance and Monitor modules are wired into the Keysight deployment.</w:t>
            </w:r>
          </w:p>
        </w:tc>
      </w:tr>
      <w:tr>
        <w:tc>
          <w:tcPr>
            <w:tcW w:type="dxa" w:w="3289"/>
            <w:vAlign w:val="top"/>
          </w:tcPr>
          <w:p>
            <w:r>
              <w:rPr>
                <w:sz w:val="19"/>
              </w:rPr>
              <w:t>Testing and Tuning</w:t>
            </w:r>
          </w:p>
        </w:tc>
        <w:tc>
          <w:tcPr>
            <w:tcW w:type="dxa" w:w="3289"/>
            <w:vAlign w:val="top"/>
          </w:tcPr>
          <w:p>
            <w:r>
              <w:rPr>
                <w:sz w:val="19"/>
              </w:rPr>
              <w:t>Weeks 9 to 10</w:t>
            </w:r>
          </w:p>
        </w:tc>
        <w:tc>
          <w:tcPr>
            <w:tcW w:type="dxa" w:w="3289"/>
            <w:vAlign w:val="top"/>
          </w:tcPr>
          <w:p>
            <w:r>
              <w:rPr>
                <w:sz w:val="19"/>
              </w:rPr>
              <w:t>Two weeks of tuning, stress, and acceptance. The classifier, extraction schemas, confidence thresholds, and routing rules are tuned against the labelled corpus using a 60 / 20 / 20 train, validation, test split. Inbound throughput is stress-tested at fifty times Keysight's stated 2,000-emails-per-day baseline to absorb quarter-end and year-end bursts. UAT runs against synthetic mail and shadow mode on a subset of real mail; Keysight rule owners sign off classification, extraction, routing, reply quality, and audit trail. Drift detector and continuous-learning feedback loop run live. Governance and Monitor hooks are verified against the scope agreed with Keysight's governance team. First mailbox cutover into production runs with the rollback plan tested. Engagement hands off to the tiered support and hypercare model.</w:t>
            </w:r>
          </w:p>
        </w:tc>
      </w:tr>
    </w:tbl>
    <w:p>
      <w:pPr>
        <w:pStyle w:val="Heading2"/>
        <w:spacing w:before="160" w:after="80"/>
      </w:pPr>
      <w:r>
        <w:rPr>
          <w:color w:val="131426"/>
        </w:rPr>
        <w:t>4.3 Data partitioning: the 60 / 20 / 20 split</w:t>
      </w:r>
    </w:p>
    <w:p>
      <w:pPr>
        <w:spacing w:after="80"/>
      </w:pPr>
      <w:r>
        <w:rPr>
          <w:b w:val="0"/>
          <w:i w:val="0"/>
          <w:sz w:val="21"/>
        </w:rPr>
        <w:t>Tuning the classifier and the extraction pipeline against Keysight data converts Version 1 into a Keysight-ready MVP. The dataset is partitioned three ways, each slice with a defined purpose, and the three slices sum to one hundred percent. The data is drawn from Keysight's existing labelled corpus from the prior POC, together with any production-representative mail Keysight can release under its data-handling rules.</w:t>
      </w:r>
    </w:p>
    <w:tbl>
      <w:tblPr>
        <w:tblStyle w:val="LightGrid-Accent1"/>
        <w:tblW w:type="auto" w:w="0"/>
        <w:tblLook w:firstColumn="1" w:firstRow="1" w:lastColumn="0" w:lastRow="0" w:noHBand="0" w:noVBand="1" w:val="04A0"/>
      </w:tblPr>
      <w:tblGrid>
        <w:gridCol w:w="3289"/>
        <w:gridCol w:w="3289"/>
        <w:gridCol w:w="3289"/>
      </w:tblGrid>
      <w:tr>
        <w:tc>
          <w:tcPr>
            <w:tcW w:type="dxa" w:w="3289"/>
            <w:shd w:val="clear" w:color="auto" w:fill="1A55F9"/>
          </w:tcPr>
          <w:p>
            <w:r>
              <w:rPr>
                <w:b/>
                <w:color w:val="FFFFFF"/>
                <w:sz w:val="20"/>
              </w:rPr>
              <w:t>Partition</w:t>
            </w:r>
          </w:p>
        </w:tc>
        <w:tc>
          <w:tcPr>
            <w:tcW w:type="dxa" w:w="3289"/>
            <w:shd w:val="clear" w:color="auto" w:fill="1A55F9"/>
          </w:tcPr>
          <w:p>
            <w:r>
              <w:rPr>
                <w:b/>
                <w:color w:val="FFFFFF"/>
                <w:sz w:val="20"/>
              </w:rPr>
              <w:t>Share</w:t>
            </w:r>
          </w:p>
        </w:tc>
        <w:tc>
          <w:tcPr>
            <w:tcW w:type="dxa" w:w="3289"/>
            <w:shd w:val="clear" w:color="auto" w:fill="1A55F9"/>
          </w:tcPr>
          <w:p>
            <w:r>
              <w:rPr>
                <w:b/>
                <w:color w:val="FFFFFF"/>
                <w:sz w:val="20"/>
              </w:rPr>
              <w:t>Purpose</w:t>
            </w:r>
          </w:p>
        </w:tc>
      </w:tr>
      <w:tr>
        <w:tc>
          <w:tcPr>
            <w:tcW w:type="dxa" w:w="3289"/>
            <w:vAlign w:val="top"/>
          </w:tcPr>
          <w:p>
            <w:r>
              <w:rPr>
                <w:sz w:val="19"/>
              </w:rPr>
              <w:t>Training set</w:t>
            </w:r>
          </w:p>
        </w:tc>
        <w:tc>
          <w:tcPr>
            <w:tcW w:type="dxa" w:w="3289"/>
            <w:vAlign w:val="top"/>
          </w:tcPr>
          <w:p>
            <w:r>
              <w:rPr>
                <w:sz w:val="19"/>
              </w:rPr>
              <w:t>60 percent</w:t>
            </w:r>
          </w:p>
        </w:tc>
        <w:tc>
          <w:tcPr>
            <w:tcW w:type="dxa" w:w="3289"/>
            <w:vAlign w:val="top"/>
          </w:tcPr>
          <w:p>
            <w:r>
              <w:rPr>
                <w:sz w:val="19"/>
              </w:rPr>
              <w:t>Calibrates the classifier, the per-intent extraction schemas, the four-gate confidence thresholds, the routing rules, and the translation glossary. This is the data the system learns from during Testing and Tuning.</w:t>
            </w:r>
          </w:p>
        </w:tc>
      </w:tr>
      <w:tr>
        <w:tc>
          <w:tcPr>
            <w:tcW w:type="dxa" w:w="3289"/>
            <w:vAlign w:val="top"/>
          </w:tcPr>
          <w:p>
            <w:r>
              <w:rPr>
                <w:sz w:val="19"/>
              </w:rPr>
              <w:t>Validation set</w:t>
            </w:r>
          </w:p>
        </w:tc>
        <w:tc>
          <w:tcPr>
            <w:tcW w:type="dxa" w:w="3289"/>
            <w:vAlign w:val="top"/>
          </w:tcPr>
          <w:p>
            <w:r>
              <w:rPr>
                <w:sz w:val="19"/>
              </w:rPr>
              <w:t>20 percent</w:t>
            </w:r>
          </w:p>
        </w:tc>
        <w:tc>
          <w:tcPr>
            <w:tcW w:type="dxa" w:w="3289"/>
            <w:vAlign w:val="top"/>
          </w:tcPr>
          <w:p>
            <w:r>
              <w:rPr>
                <w:sz w:val="19"/>
              </w:rPr>
              <w:t>Held out from training. Used to tune hyperparameters and per-gate thresholds, measure per-intent and per-language accuracy after the first tuning pass, and verify the 90 percent classification threshold the RFP names. Errors on this set drive the first feedback cycle to Keysight's named rule owners.</w:t>
            </w:r>
          </w:p>
        </w:tc>
      </w:tr>
      <w:tr>
        <w:tc>
          <w:tcPr>
            <w:tcW w:type="dxa" w:w="3289"/>
            <w:vAlign w:val="top"/>
          </w:tcPr>
          <w:p>
            <w:r>
              <w:rPr>
                <w:sz w:val="19"/>
              </w:rPr>
              <w:t>Held-out test set</w:t>
            </w:r>
          </w:p>
        </w:tc>
        <w:tc>
          <w:tcPr>
            <w:tcW w:type="dxa" w:w="3289"/>
            <w:vAlign w:val="top"/>
          </w:tcPr>
          <w:p>
            <w:r>
              <w:rPr>
                <w:sz w:val="19"/>
              </w:rPr>
              <w:t>20 percent</w:t>
            </w:r>
          </w:p>
        </w:tc>
        <w:tc>
          <w:tcPr>
            <w:tcW w:type="dxa" w:w="3289"/>
            <w:vAlign w:val="top"/>
          </w:tcPr>
          <w:p>
            <w:r>
              <w:rPr>
                <w:sz w:val="19"/>
              </w:rPr>
              <w:t>Reserved for the Testing and Tuning acceptance gate and re-run before each production cutover. Confirms the system generalises to unseen data and protects Keysight against a model that overfits the training and validation sets. Not used during training or validation.</w:t>
            </w:r>
          </w:p>
        </w:tc>
      </w:tr>
    </w:tbl>
    <w:p>
      <w:pPr>
        <w:spacing w:after="80"/>
      </w:pPr>
      <w:r>
        <w:rPr>
          <w:b w:val="0"/>
          <w:i/>
          <w:sz w:val="21"/>
        </w:rPr>
        <w:t>The three partitions remain strictly separated. No data in the validation or test sets is used to train. This is standard machine-learning practice and protects Keysight against a system that performs well on training data but fails on real inbound mail.</w:t>
      </w:r>
    </w:p>
    <w:p>
      <w:pPr>
        <w:pStyle w:val="Heading2"/>
        <w:spacing w:before="160" w:after="80"/>
      </w:pPr>
      <w:r>
        <w:rPr>
          <w:color w:val="131426"/>
        </w:rPr>
        <w:t>4.4 Engagement cadence</w:t>
      </w:r>
    </w:p>
    <w:tbl>
      <w:tblPr>
        <w:tblStyle w:val="LightGrid-Accent1"/>
        <w:tblW w:type="auto" w:w="0"/>
        <w:tblLook w:firstColumn="1" w:firstRow="1" w:lastColumn="0" w:lastRow="0" w:noHBand="0" w:noVBand="1" w:val="04A0"/>
      </w:tblPr>
      <w:tblGrid>
        <w:gridCol w:w="3118"/>
        <w:gridCol w:w="6236"/>
      </w:tblGrid>
      <w:tr>
        <w:tc>
          <w:tcPr>
            <w:tcW w:type="dxa" w:w="4933"/>
            <w:shd w:val="clear" w:color="auto" w:fill="1A55F9"/>
          </w:tcPr>
          <w:p>
            <w:r>
              <w:rPr>
                <w:b/>
                <w:color w:val="FFFFFF"/>
                <w:sz w:val="20"/>
              </w:rPr>
              <w:t>Topic</w:t>
            </w:r>
          </w:p>
        </w:tc>
        <w:tc>
          <w:tcPr>
            <w:tcW w:type="dxa" w:w="4933"/>
            <w:shd w:val="clear" w:color="auto" w:fill="1A55F9"/>
          </w:tcPr>
          <w:p>
            <w:r>
              <w:rPr>
                <w:b/>
                <w:color w:val="FFFFFF"/>
                <w:sz w:val="20"/>
              </w:rPr>
              <w:t>Approach</w:t>
            </w:r>
          </w:p>
        </w:tc>
      </w:tr>
      <w:tr>
        <w:tc>
          <w:tcPr>
            <w:tcW w:type="dxa" w:w="4933"/>
            <w:vAlign w:val="top"/>
          </w:tcPr>
          <w:p>
            <w:r>
              <w:rPr>
                <w:sz w:val="20"/>
              </w:rPr>
              <w:t>Weekly update call</w:t>
            </w:r>
          </w:p>
        </w:tc>
        <w:tc>
          <w:tcPr>
            <w:tcW w:type="dxa" w:w="4933"/>
            <w:vAlign w:val="top"/>
          </w:tcPr>
          <w:p>
            <w:r>
              <w:rPr>
                <w:sz w:val="20"/>
              </w:rPr>
              <w:t>Joint Keysight and Hackett project call at a fixed weekly time. Status against plan, working-increment demonstration, risk and dependency review, decisions captured, and outstanding items refreshed in the shared backlog. Written minutes posted to the shared channel after each call.</w:t>
            </w:r>
          </w:p>
        </w:tc>
      </w:tr>
      <w:tr>
        <w:tc>
          <w:tcPr>
            <w:tcW w:type="dxa" w:w="4933"/>
            <w:vAlign w:val="top"/>
          </w:tcPr>
          <w:p>
            <w:r>
              <w:rPr>
                <w:sz w:val="20"/>
              </w:rPr>
              <w:t>Phase end</w:t>
            </w:r>
          </w:p>
        </w:tc>
        <w:tc>
          <w:tcPr>
            <w:tcW w:type="dxa" w:w="4933"/>
            <w:vAlign w:val="top"/>
          </w:tcPr>
          <w:p>
            <w:r>
              <w:rPr>
                <w:sz w:val="20"/>
              </w:rPr>
              <w:t>Phase review with acceptance-gate sign-off by Keysight's named rule owners at the close of Requirement Finalization, MVP Build, and Testing and Tuning. Phase retrospective covering delivery against plan, risks, and the forward backlog.</w:t>
            </w:r>
          </w:p>
        </w:tc>
      </w:tr>
      <w:tr>
        <w:tc>
          <w:tcPr>
            <w:tcW w:type="dxa" w:w="4933"/>
            <w:vAlign w:val="top"/>
          </w:tcPr>
          <w:p>
            <w:r>
              <w:rPr>
                <w:sz w:val="20"/>
              </w:rPr>
              <w:t>Monthly</w:t>
            </w:r>
          </w:p>
        </w:tc>
        <w:tc>
          <w:tcPr>
            <w:tcW w:type="dxa" w:w="4933"/>
            <w:vAlign w:val="top"/>
          </w:tcPr>
          <w:p>
            <w:r>
              <w:rPr>
                <w:sz w:val="20"/>
              </w:rPr>
              <w:t>Steering committee with Keysight executive sponsors and Hackett senior management. Risks, dependencies, and scope changes formally reviewed and minuted.</w:t>
            </w:r>
          </w:p>
        </w:tc>
      </w:tr>
      <w:tr>
        <w:tc>
          <w:tcPr>
            <w:tcW w:type="dxa" w:w="4933"/>
            <w:vAlign w:val="top"/>
          </w:tcPr>
          <w:p>
            <w:r>
              <w:rPr>
                <w:sz w:val="20"/>
              </w:rPr>
              <w:t>Continuous</w:t>
            </w:r>
          </w:p>
        </w:tc>
        <w:tc>
          <w:tcPr>
            <w:tcW w:type="dxa" w:w="4933"/>
            <w:vAlign w:val="top"/>
          </w:tcPr>
          <w:p>
            <w:r>
              <w:rPr>
                <w:sz w:val="20"/>
              </w:rPr>
              <w:t>Shared backlog visible to both teams; shared monitoring dashboards; shared support channel for asynchronous queries and decisions between weekly calls.</w:t>
            </w:r>
          </w:p>
        </w:tc>
      </w:tr>
    </w:tbl>
    <w:p>
      <w:pPr>
        <w:pStyle w:val="Heading2"/>
        <w:spacing w:before="160" w:after="80"/>
      </w:pPr>
      <w:r>
        <w:rPr>
          <w:color w:val="131426"/>
        </w:rPr>
        <w:t>4.5 Phase detail</w:t>
      </w:r>
    </w:p>
    <w:p>
      <w:pPr>
        <w:spacing w:after="80"/>
      </w:pPr>
      <w:r>
        <w:rPr>
          <w:b/>
          <w:i w:val="0"/>
          <w:sz w:val="21"/>
        </w:rPr>
        <w:t>Requirement Finalization (Weeks 1 to 4).</w:t>
      </w:r>
    </w:p>
    <w:p>
      <w:pPr>
        <w:pStyle w:val="ListBullet"/>
        <w:spacing w:after="40"/>
      </w:pPr>
      <w:r>
        <w:rPr>
          <w:sz w:val="21"/>
        </w:rPr>
        <w:t>Review every one of the seven RFP use cases with Keysight's named rule owners. Lock the in-scope sub-cases and the out-of-scope items.</w:t>
      </w:r>
    </w:p>
    <w:p>
      <w:pPr>
        <w:pStyle w:val="ListBullet"/>
        <w:spacing w:after="40"/>
      </w:pPr>
      <w:r>
        <w:rPr>
          <w:sz w:val="21"/>
        </w:rPr>
        <w:t>Populate the ZBrain Knowledge Base: intent definitions and language coverage; Outlook pre-screen rules; routing rules including the distributor list and the magic-SKU table; the operational rule book the FCNV operators apply today; per-language glossaries imported from Keysight's existing translation knowledge base.</w:t>
      </w:r>
    </w:p>
    <w:p>
      <w:pPr>
        <w:pStyle w:val="ListBullet"/>
        <w:spacing w:after="40"/>
      </w:pPr>
      <w:r>
        <w:rPr>
          <w:sz w:val="21"/>
        </w:rPr>
        <w:t>Document the per-intent extraction schemas, per-region overlays, and the four-gate confidence model thresholds against the AS-IS pattern.</w:t>
      </w:r>
    </w:p>
    <w:p>
      <w:pPr>
        <w:pStyle w:val="ListBullet"/>
        <w:spacing w:after="40"/>
      </w:pPr>
      <w:r>
        <w:rPr>
          <w:sz w:val="21"/>
        </w:rPr>
        <w:t>Provision the dev environment in Keysight's AWS account: VPC, Azure AD application registration, LLM service binding, Salesforce sandbox connection, Jitterbit channel to Oracle EBS and DocuNet, Microsoft Graph permissions for Outlook, Cloudflare edge configuration, Bitbucket repository, Jenkins pipeline.</w:t>
      </w:r>
    </w:p>
    <w:p>
      <w:pPr>
        <w:pStyle w:val="ListBullet"/>
        <w:spacing w:after="40"/>
      </w:pPr>
      <w:r>
        <w:rPr>
          <w:sz w:val="21"/>
        </w:rPr>
        <w:t>Execute the initial classifier against the labelled corpus and report accuracy by intent, language, and region.</w:t>
      </w:r>
    </w:p>
    <w:p>
      <w:pPr>
        <w:pStyle w:val="ListBullet"/>
        <w:spacing w:after="40"/>
      </w:pPr>
      <w:r>
        <w:rPr>
          <w:sz w:val="21"/>
        </w:rPr>
        <w:t>Sign off the Functional Design document with Keysight's named rule owners. Outputs are the build backlog and the acceptance criteria for the MVP Build phase.</w:t>
      </w:r>
    </w:p>
    <w:p>
      <w:pPr>
        <w:spacing w:after="80"/>
      </w:pPr>
      <w:r>
        <w:rPr>
          <w:b/>
          <w:i w:val="0"/>
          <w:sz w:val="21"/>
        </w:rPr>
        <w:t>MVP Build (Weeks 5 to 8).</w:t>
      </w:r>
    </w:p>
    <w:p>
      <w:pPr>
        <w:pStyle w:val="ListBullet"/>
        <w:spacing w:after="40"/>
      </w:pPr>
      <w:r>
        <w:rPr>
          <w:sz w:val="21"/>
        </w:rPr>
        <w:t>Build all seven RFP use cases end to end against the Salesforce sandbox, configured from Version 1 against Keysight's signed-off rule book.</w:t>
      </w:r>
    </w:p>
    <w:p>
      <w:pPr>
        <w:pStyle w:val="ListBullet"/>
        <w:spacing w:after="40"/>
      </w:pPr>
      <w:r>
        <w:rPr>
          <w:sz w:val="21"/>
        </w:rPr>
        <w:t>Existing-CCC matrix verified across all ten statuses. Delta-amount calculation for Change Order clones in place.</w:t>
      </w:r>
    </w:p>
    <w:p>
      <w:pPr>
        <w:pStyle w:val="ListBullet"/>
        <w:spacing w:after="40"/>
      </w:pPr>
      <w:r>
        <w:rPr>
          <w:sz w:val="21"/>
        </w:rPr>
        <w:t>Multi-asset fan-out logic in place for the consistent-information case. The inconsistent-information case routes to an SOM CSR by design.</w:t>
      </w:r>
    </w:p>
    <w:p>
      <w:pPr>
        <w:pStyle w:val="ListBullet"/>
        <w:spacing w:after="40"/>
      </w:pPr>
      <w:r>
        <w:rPr>
          <w:sz w:val="21"/>
        </w:rPr>
        <w:t>AIOA validation pattern preserved on Trade Order Entry, SOM WO Update, and Service Contracts flows for attached POs.</w:t>
      </w:r>
    </w:p>
    <w:p>
      <w:pPr>
        <w:pStyle w:val="ListBullet"/>
        <w:spacing w:after="40"/>
      </w:pPr>
      <w:r>
        <w:rPr>
          <w:sz w:val="21"/>
        </w:rPr>
        <w:t>Routing resolver complete: distributor list, magic-SKU table, FE and CSR override detection, region-aware overlays, citizenship-based KSO routing.</w:t>
      </w:r>
    </w:p>
    <w:p>
      <w:pPr>
        <w:pStyle w:val="ListBullet"/>
        <w:spacing w:after="40"/>
      </w:pPr>
      <w:r>
        <w:rPr>
          <w:sz w:val="21"/>
        </w:rPr>
        <w:t>Operator HITL portal live: case list, case detail, per-gate confidence display, extracted fields, drafted reply, and approve / edit / reject actions.</w:t>
      </w:r>
    </w:p>
    <w:p>
      <w:pPr>
        <w:pStyle w:val="ListBullet"/>
        <w:spacing w:after="40"/>
      </w:pPr>
      <w:r>
        <w:rPr>
          <w:sz w:val="21"/>
        </w:rPr>
        <w:t>Knowledge Base authoring screens live so Keysight's rule owners can edit intents, routing rules, glossaries, and the operational rule book without a developer release.</w:t>
      </w:r>
    </w:p>
    <w:p>
      <w:pPr>
        <w:pStyle w:val="ListBullet"/>
        <w:spacing w:after="40"/>
      </w:pPr>
      <w:r>
        <w:rPr>
          <w:sz w:val="21"/>
        </w:rPr>
        <w:t>Communication agent live: reply drafting in the customer's detected language, SOA and acknowledgement document generation, CommunicationLog with full audit trail.</w:t>
      </w:r>
    </w:p>
    <w:p>
      <w:pPr>
        <w:pStyle w:val="ListBullet"/>
        <w:spacing w:after="40"/>
      </w:pPr>
      <w:r>
        <w:rPr>
          <w:sz w:val="21"/>
        </w:rPr>
        <w:t>Oracle EBS write-back through Jitterbit operates against Keysight's existing field mappings.</w:t>
      </w:r>
    </w:p>
    <w:p>
      <w:pPr>
        <w:pStyle w:val="ListBullet"/>
        <w:spacing w:after="40"/>
      </w:pPr>
      <w:r>
        <w:rPr>
          <w:sz w:val="21"/>
        </w:rPr>
        <w:t>ZBrain Governance and Monitor modules wired into the Keysight deployment, with policy and telemetry scope agreed at Functional Design.</w:t>
      </w:r>
    </w:p>
    <w:p>
      <w:pPr>
        <w:spacing w:after="80"/>
      </w:pPr>
      <w:r>
        <w:rPr>
          <w:b/>
          <w:i w:val="0"/>
          <w:sz w:val="21"/>
        </w:rPr>
        <w:t>Testing and Tuning (Weeks 9 to 10).</w:t>
      </w:r>
    </w:p>
    <w:p>
      <w:pPr>
        <w:pStyle w:val="ListBullet"/>
        <w:spacing w:after="40"/>
      </w:pPr>
      <w:r>
        <w:rPr>
          <w:sz w:val="21"/>
        </w:rPr>
        <w:t>Tune the classifier, extraction schemas, confidence thresholds, and routing rules against the labelled corpus using the 60 / 20 / 20 train, validation, test split.</w:t>
      </w:r>
    </w:p>
    <w:p>
      <w:pPr>
        <w:pStyle w:val="ListBullet"/>
        <w:spacing w:after="40"/>
      </w:pPr>
      <w:r>
        <w:rPr>
          <w:sz w:val="21"/>
        </w:rPr>
        <w:t>Stress-test inbound throughput at fifty times Keysight's stated 2,000-emails-per-day baseline (sustained 100,000 emails per day for 24 hours, with elastic worker scaling on queue depth) to absorb quarter-end and year-end bursts without back-pressure into the mailbox layer.</w:t>
      </w:r>
    </w:p>
    <w:p>
      <w:pPr>
        <w:pStyle w:val="ListBullet"/>
        <w:spacing w:after="40"/>
      </w:pPr>
      <w:r>
        <w:rPr>
          <w:sz w:val="21"/>
        </w:rPr>
        <w:t>Run UAT against synthetic mail and shadow mode on a subset of real mail, covering classification, extraction, routing, reply quality, and audit trail. Keysight's named rule owners sign off each category.</w:t>
      </w:r>
    </w:p>
    <w:p>
      <w:pPr>
        <w:pStyle w:val="ListBullet"/>
        <w:spacing w:after="40"/>
      </w:pPr>
      <w:r>
        <w:rPr>
          <w:sz w:val="21"/>
        </w:rPr>
        <w:t>Activate the drift detector and the continuous-learning feedback loop. Every CSR correction generates a candidate rule update for review in the Governance and Analytics screen.</w:t>
      </w:r>
    </w:p>
    <w:p>
      <w:pPr>
        <w:pStyle w:val="ListBullet"/>
        <w:spacing w:after="40"/>
      </w:pPr>
      <w:r>
        <w:rPr>
          <w:sz w:val="21"/>
        </w:rPr>
        <w:t>Verify Governance and Monitor hooks against the scope agreed with Keysight's governance team at Functional Design.</w:t>
      </w:r>
    </w:p>
    <w:p>
      <w:pPr>
        <w:pStyle w:val="ListBullet"/>
        <w:spacing w:after="40"/>
      </w:pPr>
      <w:r>
        <w:rPr>
          <w:sz w:val="21"/>
        </w:rPr>
        <w:t>Execute the first mailbox cutover into production. Validate the rollback plan by selectively pausing the cutover mailbox.</w:t>
      </w:r>
    </w:p>
    <w:p>
      <w:pPr>
        <w:pStyle w:val="ListBullet"/>
        <w:spacing w:after="40"/>
      </w:pPr>
      <w:r>
        <w:rPr>
          <w:sz w:val="21"/>
        </w:rPr>
        <w:t>Hand off to the L1, L2, and L3 support tiers. Publish the run-book. Deliver CSR training.</w:t>
      </w:r>
    </w:p>
    <w:p>
      <w:pPr>
        <w:pStyle w:val="Heading2"/>
        <w:spacing w:before="160" w:after="80"/>
      </w:pPr>
      <w:r>
        <w:rPr>
          <w:color w:val="131426"/>
        </w:rPr>
        <w:t>4.6 Continuous learning</w:t>
      </w:r>
    </w:p>
    <w:p>
      <w:pPr>
        <w:spacing w:after="80"/>
      </w:pPr>
      <w:r>
        <w:rPr>
          <w:b w:val="0"/>
          <w:i w:val="0"/>
          <w:sz w:val="21"/>
        </w:rPr>
        <w:t>Continuous learning is a first-class operational workflow that executes inside the ZBrain Monitor and Knowledge Base modules from the day of first mailbox cutover. Its purpose is to convert every CSR interaction and every data signal into an auditable improvement to the live system on a cycle measured in days. The stated Keysight principle is that one-hundred-percent automation is not the goal; the goal is that confidence in each gate is validated and autonomy is expanded use case by use case as the platform learns from corrections.</w:t>
      </w:r>
    </w:p>
    <w:p>
      <w:pPr>
        <w:spacing w:after="80"/>
      </w:pPr>
      <w:r>
        <w:rPr>
          <w:b/>
          <w:i w:val="0"/>
          <w:sz w:val="21"/>
        </w:rPr>
        <w:t>Loop A. Signal capture (always-on).</w:t>
      </w:r>
    </w:p>
    <w:p>
      <w:pPr>
        <w:pStyle w:val="ListBullet"/>
        <w:spacing w:after="40"/>
      </w:pPr>
      <w:r>
        <w:rPr>
          <w:sz w:val="21"/>
        </w:rPr>
        <w:t>Every CSR action is captured with a structured diff: re-classifications, edited extraction fields, rejected drafts, manual routing overrides, force-publishes, and force-holds. The diff carries the original solution output, the CSR output, the source email and attachments, and the four-gate scores at decision time.</w:t>
      </w:r>
    </w:p>
    <w:p>
      <w:pPr>
        <w:pStyle w:val="ListBullet"/>
        <w:spacing w:after="40"/>
      </w:pPr>
      <w:r>
        <w:rPr>
          <w:sz w:val="21"/>
        </w:rPr>
        <w:t>Every external write (Salesforce, the Jitterbit calls to Oracle EBS and DocuNet, the customer reply send) is captured with its outcome (success, retry, hard fail) and any downstream consequence (CCC reopened, customer follow-up, AIOA fallout).</w:t>
      </w:r>
    </w:p>
    <w:p>
      <w:pPr>
        <w:pStyle w:val="ListBullet"/>
        <w:spacing w:after="40"/>
      </w:pPr>
      <w:r>
        <w:rPr>
          <w:sz w:val="21"/>
        </w:rPr>
        <w:t>Every drift signal from the Monitor module is captured: classification-mix shifts, confidence-distribution shifts, HITL-rate shifts, per-language accuracy shifts, per-intent SLA breaches.</w:t>
      </w:r>
    </w:p>
    <w:p>
      <w:pPr>
        <w:pStyle w:val="ListBullet"/>
        <w:spacing w:after="40"/>
      </w:pPr>
      <w:r>
        <w:rPr>
          <w:sz w:val="21"/>
        </w:rPr>
        <w:t>All three signal streams land in a single Learning Store inside ZBrain, indexed by email reference, intent, language, region, mailbox, and use case. Nothing is thrown away.</w:t>
      </w:r>
    </w:p>
    <w:p>
      <w:pPr>
        <w:spacing w:after="80"/>
      </w:pPr>
      <w:r>
        <w:rPr>
          <w:b/>
          <w:i w:val="0"/>
          <w:sz w:val="21"/>
        </w:rPr>
        <w:t>Loop B. Opportunity identification (weekly).</w:t>
      </w:r>
    </w:p>
    <w:p>
      <w:pPr>
        <w:pStyle w:val="ListBullet"/>
        <w:spacing w:after="40"/>
      </w:pPr>
      <w:r>
        <w:rPr>
          <w:sz w:val="21"/>
        </w:rPr>
        <w:t>A weekly batch job clusters signals into Opportunities, each one carrying a fingerprint ("PO emails from distributor X in Brazilian Portuguese are misclassifying as KSO 8 percent of the time") and a proposed remedy ("add this sender pattern as a distributor route exception" or "add these three glossary entries" or "raise the Extraction gate threshold for this intent").</w:t>
      </w:r>
    </w:p>
    <w:p>
      <w:pPr>
        <w:pStyle w:val="ListBullet"/>
        <w:spacing w:after="40"/>
      </w:pPr>
      <w:r>
        <w:rPr>
          <w:sz w:val="21"/>
        </w:rPr>
        <w:t>Opportunities are scored on expected lift (how many emails per week the fix would affect), effort (configuration change vs new agent action vs full rule-book entry), and risk (will this change push high-confidence acts into the wrong cell). The list is ranked by lift-over-effort with risk as a brake.</w:t>
      </w:r>
    </w:p>
    <w:p>
      <w:pPr>
        <w:pStyle w:val="ListBullet"/>
        <w:spacing w:after="40"/>
      </w:pPr>
      <w:r>
        <w:rPr>
          <w:sz w:val="21"/>
        </w:rPr>
        <w:t>Opportunities surface in the ZBrain Governance and Analytics screen. Keysight's named rule owners review them on the weekly update call. Each opportunity is accepted, rejected, or deferred, with the reasoning logged.</w:t>
      </w:r>
    </w:p>
    <w:p>
      <w:pPr>
        <w:spacing w:after="80"/>
      </w:pPr>
      <w:r>
        <w:rPr>
          <w:b/>
          <w:i w:val="0"/>
          <w:sz w:val="21"/>
        </w:rPr>
        <w:t>Loop C. A/B promotion (per accepted opportunity).</w:t>
      </w:r>
    </w:p>
    <w:p>
      <w:pPr>
        <w:pStyle w:val="ListBullet"/>
        <w:spacing w:after="40"/>
      </w:pPr>
      <w:r>
        <w:rPr>
          <w:sz w:val="21"/>
        </w:rPr>
        <w:t>An accepted opportunity is implemented as a shadow change: the candidate rule, threshold, glossary entry, or KB exemplar set is deployed alongside the current production version, not in place of it. Inbound emails run through both paths in parallel.</w:t>
      </w:r>
    </w:p>
    <w:p>
      <w:pPr>
        <w:pStyle w:val="ListBullet"/>
        <w:spacing w:after="40"/>
      </w:pPr>
      <w:r>
        <w:rPr>
          <w:sz w:val="21"/>
        </w:rPr>
        <w:t>Comparison mode logs the two outputs side by side. The candidate's output is never acted on, never sent to a customer, never written to Salesforce or Oracle. It is observed only.</w:t>
      </w:r>
    </w:p>
    <w:p>
      <w:pPr>
        <w:pStyle w:val="ListBullet"/>
        <w:spacing w:after="40"/>
      </w:pPr>
      <w:r>
        <w:rPr>
          <w:sz w:val="21"/>
        </w:rPr>
        <w:t>The A/B horizon is the smaller of (i) a fixed time window (typically one to two weeks) and (ii) a fixed sample size (typically 1,000 to 5,000 in-scope emails). The horizon is set when the candidate is promoted to shadow and is locked once it starts.</w:t>
      </w:r>
    </w:p>
    <w:p>
      <w:pPr>
        <w:pStyle w:val="ListBullet"/>
        <w:spacing w:after="40"/>
      </w:pPr>
      <w:r>
        <w:rPr>
          <w:sz w:val="21"/>
        </w:rPr>
        <w:t>Pre-defined success criteria gate the promotion: accuracy lift over the baseline at a defined confidence interval, no regression in any tracked sub-segment (per-region, per-language, per-intent), and no spike in the HITL rate. If all three pass, the candidate is promoted to production by a Keysight rule owner in the governance screen. If any fail, the candidate is retired and the reason is recorded.</w:t>
      </w:r>
    </w:p>
    <w:p>
      <w:pPr>
        <w:pStyle w:val="ListBullet"/>
        <w:spacing w:after="40"/>
      </w:pPr>
      <w:r>
        <w:rPr>
          <w:sz w:val="21"/>
        </w:rPr>
        <w:t>Promotion is reversible. Every promoted change carries a one-click rollback to the prior version. The rollback diffs the live state against the prior state and is logged.</w:t>
      </w:r>
    </w:p>
    <w:p>
      <w:pPr>
        <w:spacing w:after="80"/>
      </w:pPr>
      <w:r>
        <w:rPr>
          <w:b/>
          <w:i w:val="0"/>
          <w:sz w:val="21"/>
        </w:rPr>
        <w:t>Loop D. Drift detection and circuit-breaker (continuous).</w:t>
      </w:r>
    </w:p>
    <w:p>
      <w:pPr>
        <w:pStyle w:val="ListBullet"/>
        <w:spacing w:after="40"/>
      </w:pPr>
      <w:r>
        <w:rPr>
          <w:sz w:val="21"/>
        </w:rPr>
        <w:t>Independent of the weekly cycle, a real-time drift detector monitors classification mix, confidence distribution, HITL rate, per-intent SLA adherence, and per-language extraction accuracy against a rolling baseline (default 30-day window).</w:t>
      </w:r>
    </w:p>
    <w:p>
      <w:pPr>
        <w:pStyle w:val="ListBullet"/>
        <w:spacing w:after="40"/>
      </w:pPr>
      <w:r>
        <w:rPr>
          <w:sz w:val="21"/>
        </w:rPr>
        <w:t>On a material deviation, the dashboard alerts the on-call team. If the deviation crosses a defined SLO floor, the agent's auto-action authority is paused for the affected segment and traffic routes to CSR review until a rule owner clears the issue. The same circuit-breaker contract is declared at deployment, enforced by the Governance module, and logged in the audit trail.</w:t>
      </w:r>
    </w:p>
    <w:p>
      <w:pPr>
        <w:pStyle w:val="ListBullet"/>
        <w:spacing w:after="40"/>
      </w:pPr>
      <w:r>
        <w:rPr>
          <w:sz w:val="21"/>
        </w:rPr>
        <w:t>Drift events also feed back into Loop B as candidate Opportunities, so the recovery action is captured for future use.</w:t>
      </w:r>
    </w:p>
    <w:p>
      <w:pPr>
        <w:spacing w:after="80"/>
      </w:pPr>
      <w:r>
        <w:rPr>
          <w:b/>
          <w:i w:val="0"/>
          <w:sz w:val="21"/>
        </w:rPr>
        <w:t>Loop E. Operator-tunable knowledge bases (continuous).</w:t>
      </w:r>
    </w:p>
    <w:p>
      <w:pPr>
        <w:pStyle w:val="ListBullet"/>
        <w:spacing w:after="40"/>
      </w:pPr>
      <w:r>
        <w:rPr>
          <w:sz w:val="21"/>
        </w:rPr>
        <w:t>Routine rule changes are operator edits in the ZBrain Knowledge Base module, not developer releases. Intent definitions, routing rules, distributor lists, magic-SKU tables, per-region overlays, and translation glossary entries are all editable.</w:t>
      </w:r>
    </w:p>
    <w:p>
      <w:pPr>
        <w:pStyle w:val="ListBullet"/>
        <w:spacing w:after="40"/>
      </w:pPr>
      <w:r>
        <w:rPr>
          <w:sz w:val="21"/>
        </w:rPr>
        <w:t>Edits carry version history, named-owner attribution, and one-click rollback. A change-control record is created automatically; in the governance call the rule owners review the week's edits as a batch.</w:t>
      </w:r>
    </w:p>
    <w:p>
      <w:pPr>
        <w:pStyle w:val="Heading2"/>
        <w:spacing w:before="160" w:after="80"/>
      </w:pPr>
      <w:r>
        <w:rPr>
          <w:color w:val="131426"/>
        </w:rPr>
        <w:t>4.7 Governance and Analytics screen</w:t>
      </w:r>
    </w:p>
    <w:p>
      <w:pPr>
        <w:spacing w:after="80"/>
      </w:pPr>
      <w:r>
        <w:rPr>
          <w:b w:val="0"/>
          <w:i w:val="0"/>
          <w:sz w:val="21"/>
        </w:rPr>
        <w:t>The Governance and Analytics screen is the operational home for continuous learning. It is a single surface inside the ZBrain platform UI that the Keysight governance team and rule owners use to run the weekly cycle and to monitor live health between cycles.</w:t>
      </w:r>
    </w:p>
    <w:p>
      <w:pPr>
        <w:pStyle w:val="ListBullet"/>
        <w:spacing w:after="40"/>
      </w:pPr>
      <w:r>
        <w:rPr>
          <w:sz w:val="21"/>
        </w:rPr>
        <w:t>Health tiles: classification accuracy (live and 30-day rolling), automation rate (L4 / L3 / L2 split), HITL queue depth, per-intent SLA adherence, four-gate pass rates. Each tile is clickable for the underlying breakdown.</w:t>
      </w:r>
    </w:p>
    <w:p>
      <w:pPr>
        <w:pStyle w:val="ListBullet"/>
        <w:spacing w:after="40"/>
      </w:pPr>
      <w:r>
        <w:rPr>
          <w:sz w:val="21"/>
        </w:rPr>
        <w:t>Opportunity board: the ranked list from Loop B above. Each opportunity card shows the fingerprint, the proposed remedy, the expected lift, the risk note, the affected segment, and the accept / defer / reject actions. The card carries through to the A/B configuration screen when accepted.</w:t>
      </w:r>
    </w:p>
    <w:p>
      <w:pPr>
        <w:pStyle w:val="ListBullet"/>
        <w:spacing w:after="40"/>
      </w:pPr>
      <w:r>
        <w:rPr>
          <w:sz w:val="21"/>
        </w:rPr>
        <w:t>A/B experiments: every active shadow comparison with its horizon, sample count to date, accuracy delta with confidence interval, sub-segment regression flags, and the promotion gate status. Promotion is a single click for an authorised rule owner.</w:t>
      </w:r>
    </w:p>
    <w:p>
      <w:pPr>
        <w:pStyle w:val="ListBullet"/>
        <w:spacing w:after="40"/>
      </w:pPr>
      <w:r>
        <w:rPr>
          <w:sz w:val="21"/>
        </w:rPr>
        <w:t>Drift timeline: a rolling chart of every drift signal raised, with the alerted SLO and the resolution action.</w:t>
      </w:r>
    </w:p>
    <w:p>
      <w:pPr>
        <w:pStyle w:val="ListBullet"/>
        <w:spacing w:after="40"/>
      </w:pPr>
      <w:r>
        <w:rPr>
          <w:sz w:val="21"/>
        </w:rPr>
        <w:t>Change log: every promoted change, every Knowledge Base edit, every rule-owner sign-off, every rollback. Filterable by use case, by author, by date range. Exportable to Keysight's audit retention.</w:t>
      </w:r>
    </w:p>
    <w:p>
      <w:pPr>
        <w:pStyle w:val="ListBullet"/>
        <w:spacing w:after="40"/>
      </w:pPr>
      <w:r>
        <w:rPr>
          <w:sz w:val="21"/>
        </w:rPr>
        <w:t>Per-CSR view (for governance, not performance management): correction patterns by CSR, so the team can see whether a specific instruction in the rule book is creating recurring corrections. The intent is to fix the rule book, not to grade individual CSRs.</w:t>
      </w:r>
    </w:p>
    <w:p>
      <w:pPr>
        <w:pStyle w:val="Heading2"/>
        <w:spacing w:before="160" w:after="80"/>
      </w:pPr>
      <w:r>
        <w:rPr>
          <w:color w:val="131426"/>
        </w:rPr>
        <w:t>4.8 Knowledge transfer</w:t>
      </w:r>
    </w:p>
    <w:p>
      <w:pPr>
        <w:pStyle w:val="ListBullet"/>
        <w:spacing w:after="40"/>
      </w:pPr>
      <w:r>
        <w:rPr>
          <w:sz w:val="21"/>
        </w:rPr>
        <w:t>Operator training for CSRs on the HITL portal: reading confidence scores, when to edit, when to reject, and how the solution incorporates corrections.</w:t>
      </w:r>
    </w:p>
    <w:p>
      <w:pPr>
        <w:pStyle w:val="ListBullet"/>
        <w:spacing w:after="40"/>
      </w:pPr>
      <w:r>
        <w:rPr>
          <w:sz w:val="21"/>
        </w:rPr>
        <w:t>Administrator training for the team that operates the solution day to day: editing knowledge bases, adding a new intent, updating routing rules, and publishing a rule-book change.</w:t>
      </w:r>
    </w:p>
    <w:p>
      <w:pPr>
        <w:pStyle w:val="ListBullet"/>
        <w:spacing w:after="40"/>
      </w:pPr>
      <w:r>
        <w:rPr>
          <w:sz w:val="21"/>
        </w:rPr>
        <w:t>Builder training for the team that extends the solution into new use cases post-MVP. The skills profile required to maintain the solution after go-live is a business analyst plus a low-code builder for routine changes (Knowledge Base edits, routing rules, glossary entries, intent definitions). A full-stack developer is needed only for new integration channels or sub-systems outside the seven RFP use cases.</w:t>
      </w:r>
    </w:p>
    <w:p>
      <w:pPr>
        <w:pStyle w:val="ListBullet"/>
        <w:spacing w:after="40"/>
      </w:pPr>
      <w:r>
        <w:rPr>
          <w:sz w:val="21"/>
        </w:rPr>
        <w:t>Run-book covering monitoring, alerts, escalation paths, the support model, and the rollback procedure for each mailbox.</w:t>
      </w:r>
    </w:p>
    <w:p>
      <w:pPr>
        <w:pStyle w:val="ListBullet"/>
        <w:spacing w:after="40"/>
      </w:pPr>
      <w:r>
        <w:rPr>
          <w:sz w:val="21"/>
        </w:rPr>
        <w:t>Documentation maintained inside Keysight's preferred knowledge repository, kept current across the engagement and into steady-state operation.</w:t>
      </w:r>
    </w:p>
    <w:p>
      <w:pPr>
        <w:pStyle w:val="Heading2"/>
        <w:spacing w:before="160" w:after="80"/>
      </w:pPr>
      <w:r>
        <w:rPr>
          <w:color w:val="131426"/>
        </w:rPr>
        <w:t>4.9 Risk management</w:t>
      </w:r>
    </w:p>
    <w:p>
      <w:pPr>
        <w:spacing w:after="80"/>
      </w:pPr>
      <w:r>
        <w:rPr>
          <w:b w:val="0"/>
          <w:i w:val="0"/>
          <w:sz w:val="21"/>
        </w:rPr>
        <w:t>Risk is managed actively, not retrospectively. The risk register is reviewed on every weekly update call, expanded at every phase retrospective, and presented to the monthly steering committee. Each risk carries an owner, a likelihood, an impact, and a mitigation action. Where a risk crosses a defined threshold, the corresponding circuit-breaker policy activates and the team is notified.</w:t>
      </w:r>
    </w:p>
    <w:p>
      <w:pPr>
        <w:pStyle w:val="Heading2"/>
        <w:spacing w:before="160" w:after="80"/>
      </w:pPr>
      <w:r>
        <w:rPr>
          <w:color w:val="131426"/>
        </w:rPr>
        <w:t>4.10 Post-deployment lifecycle</w:t>
      </w:r>
    </w:p>
    <w:p>
      <w:pPr>
        <w:spacing w:after="80"/>
      </w:pPr>
      <w:r>
        <w:rPr>
          <w:b w:val="0"/>
          <w:i w:val="0"/>
          <w:sz w:val="21"/>
        </w:rPr>
        <w:t>The engagement does not end at production cutover. The lifecycle below covers the period from first mailbox cutover through long-running steady-state operation. Implementation work is fixed-fee against the per-phase acceptance gates. Post-deployment work is time and materials against a named rate card, so Keysight pays only for the engineering actually consumed.</w:t>
      </w:r>
    </w:p>
    <w:tbl>
      <w:tblPr>
        <w:tblStyle w:val="LightGrid-Accent1"/>
        <w:tblW w:type="auto" w:w="0"/>
        <w:tblLook w:firstColumn="1" w:firstRow="1" w:lastColumn="0" w:lastRow="0" w:noHBand="0" w:noVBand="1" w:val="04A0"/>
      </w:tblPr>
      <w:tblGrid>
        <w:gridCol w:w="3289"/>
        <w:gridCol w:w="3289"/>
        <w:gridCol w:w="3289"/>
      </w:tblGrid>
      <w:tr>
        <w:tc>
          <w:tcPr>
            <w:tcW w:type="dxa" w:w="3289"/>
            <w:shd w:val="clear" w:color="auto" w:fill="1A55F9"/>
          </w:tcPr>
          <w:p>
            <w:r>
              <w:rPr>
                <w:b/>
                <w:color w:val="FFFFFF"/>
                <w:sz w:val="20"/>
              </w:rPr>
              <w:t>Phase</w:t>
            </w:r>
          </w:p>
        </w:tc>
        <w:tc>
          <w:tcPr>
            <w:tcW w:type="dxa" w:w="3289"/>
            <w:shd w:val="clear" w:color="auto" w:fill="1A55F9"/>
          </w:tcPr>
          <w:p>
            <w:r>
              <w:rPr>
                <w:b/>
                <w:color w:val="FFFFFF"/>
                <w:sz w:val="20"/>
              </w:rPr>
              <w:t>Window</w:t>
            </w:r>
          </w:p>
        </w:tc>
        <w:tc>
          <w:tcPr>
            <w:tcW w:type="dxa" w:w="3289"/>
            <w:shd w:val="clear" w:color="auto" w:fill="1A55F9"/>
          </w:tcPr>
          <w:p>
            <w:r>
              <w:rPr>
                <w:b/>
                <w:color w:val="FFFFFF"/>
                <w:sz w:val="20"/>
              </w:rPr>
              <w:t>Coverage and commercial basis</w:t>
            </w:r>
          </w:p>
        </w:tc>
      </w:tr>
      <w:tr>
        <w:tc>
          <w:tcPr>
            <w:tcW w:type="dxa" w:w="3289"/>
            <w:vAlign w:val="top"/>
          </w:tcPr>
          <w:p>
            <w:r>
              <w:rPr>
                <w:sz w:val="19"/>
              </w:rPr>
              <w:t>Hypercare</w:t>
            </w:r>
          </w:p>
        </w:tc>
        <w:tc>
          <w:tcPr>
            <w:tcW w:type="dxa" w:w="3289"/>
            <w:vAlign w:val="top"/>
          </w:tcPr>
          <w:p>
            <w:r>
              <w:rPr>
                <w:sz w:val="19"/>
              </w:rPr>
              <w:t>Weeks 11 to 14 (first three months post-cutover)</w:t>
            </w:r>
          </w:p>
        </w:tc>
        <w:tc>
          <w:tcPr>
            <w:tcW w:type="dxa" w:w="3289"/>
            <w:vAlign w:val="top"/>
          </w:tcPr>
          <w:p>
            <w:r>
              <w:rPr>
                <w:sz w:val="19"/>
              </w:rPr>
              <w:t>Included in the implementation price; no separate fee. A focused subset of the delivery team remains engaged to absorb first-wave drift, close first-round CSR feedback, and onboard the remaining mailboxes against the rollback plan.</w:t>
            </w:r>
          </w:p>
        </w:tc>
      </w:tr>
      <w:tr>
        <w:tc>
          <w:tcPr>
            <w:tcW w:type="dxa" w:w="3289"/>
            <w:vAlign w:val="top"/>
          </w:tcPr>
          <w:p>
            <w:r>
              <w:rPr>
                <w:sz w:val="19"/>
              </w:rPr>
              <w:t>Steady-state managed service</w:t>
            </w:r>
          </w:p>
        </w:tc>
        <w:tc>
          <w:tcPr>
            <w:tcW w:type="dxa" w:w="3289"/>
            <w:vAlign w:val="top"/>
          </w:tcPr>
          <w:p>
            <w:r>
              <w:rPr>
                <w:sz w:val="19"/>
              </w:rPr>
              <w:t>From Week 15 onward</w:t>
            </w:r>
          </w:p>
        </w:tc>
        <w:tc>
          <w:tcPr>
            <w:tcW w:type="dxa" w:w="3289"/>
            <w:vAlign w:val="top"/>
          </w:tcPr>
          <w:p>
            <w:r>
              <w:rPr>
                <w:sz w:val="19"/>
              </w:rPr>
              <w:t>Tier 1, Tier 2, and Tier 3 support, priced per deployed agent per month. Continuous Learning loops execute inside this phase. Includes the weekly update call, the monthly steering review, and a quarterly business review.</w:t>
            </w:r>
          </w:p>
        </w:tc>
      </w:tr>
      <w:tr>
        <w:tc>
          <w:tcPr>
            <w:tcW w:type="dxa" w:w="3289"/>
            <w:vAlign w:val="top"/>
          </w:tcPr>
          <w:p>
            <w:r>
              <w:rPr>
                <w:sz w:val="19"/>
              </w:rPr>
              <w:t>Enhancements (T&amp;M)</w:t>
            </w:r>
          </w:p>
        </w:tc>
        <w:tc>
          <w:tcPr>
            <w:tcW w:type="dxa" w:w="3289"/>
            <w:vAlign w:val="top"/>
          </w:tcPr>
          <w:p>
            <w:r>
              <w:rPr>
                <w:sz w:val="19"/>
              </w:rPr>
              <w:t>Continuous, on demand</w:t>
            </w:r>
          </w:p>
        </w:tc>
        <w:tc>
          <w:tcPr>
            <w:tcW w:type="dxa" w:w="3289"/>
            <w:vAlign w:val="top"/>
          </w:tcPr>
          <w:p>
            <w:r>
              <w:rPr>
                <w:sz w:val="19"/>
              </w:rPr>
              <w:t>New use cases beyond the RFP seven, new integration channels, new languages, model migrations, additional mailbox cutovers, and optimisation work surfaced by the Opportunity board. Engineering and AI / ML effort delivered on a time-and-materials basis at the named rate card, against agreed scope and acceptance criteria per request.</w:t>
            </w:r>
          </w:p>
        </w:tc>
      </w:tr>
      <w:tr>
        <w:tc>
          <w:tcPr>
            <w:tcW w:type="dxa" w:w="3289"/>
            <w:vAlign w:val="top"/>
          </w:tcPr>
          <w:p>
            <w:r>
              <w:rPr>
                <w:sz w:val="19"/>
              </w:rPr>
              <w:t>Major version uplift</w:t>
            </w:r>
          </w:p>
        </w:tc>
        <w:tc>
          <w:tcPr>
            <w:tcW w:type="dxa" w:w="3289"/>
            <w:vAlign w:val="top"/>
          </w:tcPr>
          <w:p>
            <w:r>
              <w:rPr>
                <w:sz w:val="19"/>
              </w:rPr>
              <w:t>On platform releases</w:t>
            </w:r>
          </w:p>
        </w:tc>
        <w:tc>
          <w:tcPr>
            <w:tcW w:type="dxa" w:w="3289"/>
            <w:vAlign w:val="top"/>
          </w:tcPr>
          <w:p>
            <w:r>
              <w:rPr>
                <w:sz w:val="19"/>
              </w:rPr>
              <w:t>ZBrain platform major releases are tested in Keysight's UAT environment, regression-run against the held-out test set, and promoted to production with a rollback gate. Included in the platform subscription; T&amp;M applies only where Keysight requests bespoke work alongside the uplift.</w:t>
            </w:r>
          </w:p>
        </w:tc>
      </w:tr>
      <w:tr>
        <w:tc>
          <w:tcPr>
            <w:tcW w:type="dxa" w:w="3289"/>
            <w:vAlign w:val="top"/>
          </w:tcPr>
          <w:p>
            <w:r>
              <w:rPr>
                <w:sz w:val="19"/>
              </w:rPr>
              <w:t>Continuous improvement programme</w:t>
            </w:r>
          </w:p>
        </w:tc>
        <w:tc>
          <w:tcPr>
            <w:tcW w:type="dxa" w:w="3289"/>
            <w:vAlign w:val="top"/>
          </w:tcPr>
          <w:p>
            <w:r>
              <w:rPr>
                <w:sz w:val="19"/>
              </w:rPr>
              <w:t>Quarterly</w:t>
            </w:r>
          </w:p>
        </w:tc>
        <w:tc>
          <w:tcPr>
            <w:tcW w:type="dxa" w:w="3289"/>
            <w:vAlign w:val="top"/>
          </w:tcPr>
          <w:p>
            <w:r>
              <w:rPr>
                <w:sz w:val="19"/>
              </w:rPr>
              <w:t>A quarterly improvement plan based on the Opportunity board, signed off by the Keysight sponsor and delivered against a Quarterly Statement of Work. Scope is the highest-lift opportunities surfaced by Loops A and B. Priced T&amp;M against the rate card.</w:t>
            </w:r>
          </w:p>
        </w:tc>
      </w:tr>
    </w:tbl>
    <w:p>
      <w:pPr>
        <w:spacing w:after="80"/>
      </w:pPr>
      <w:r>
        <w:rPr>
          <w:b w:val="0"/>
          <w:i w:val="0"/>
          <w:color w:val="6B7280"/>
          <w:sz w:val="21"/>
        </w:rPr>
        <w:t>T&amp;M engagements draw against a published rate card by role (Solution Architect, AI / ML Lead, AI / ML Engineer, Integration Engineer, Backend Engineer, Frontend Engineer, QA, Project Manager). Each engagement begins with a written scope and acceptance criteria, tracks against a target hour estimate, and reports weekly burn. Keysight retains the right to pause, adjust scope, or terminate at the next weekly update call.</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