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color w:val="6B7280"/>
          <w:sz w:val="22"/>
        </w:rPr>
        <w:t>Section 5 of 13</w:t>
      </w:r>
    </w:p>
    <w:p>
      <w:pPr>
        <w:spacing w:after="40"/>
      </w:pPr>
      <w:r>
        <w:rPr>
          <w:b/>
          <w:color w:val="1A55F9"/>
          <w:sz w:val="44"/>
        </w:rPr>
        <w:t>AI / ML Capabilities</w:t>
      </w:r>
    </w:p>
    <w:p>
      <w:pPr>
        <w:spacing w:after="240"/>
      </w:pPr>
      <w:r>
        <w:rPr>
          <w:i/>
          <w:color w:val="6B7280"/>
          <w:sz w:val="19"/>
        </w:rPr>
        <w:t>Keysight Technologies . Agentic AI for SalesOps RFP Response . The Hackett Group on ZBrain . Response date 2026-05-11</w:t>
      </w:r>
    </w:p>
    <w:p>
      <w:pPr>
        <w:pStyle w:val="Heading2"/>
        <w:spacing w:before="160" w:after="80"/>
      </w:pPr>
      <w:r>
        <w:rPr>
          <w:color w:val="131426"/>
        </w:rPr>
        <w:t>Our capability</w:t>
      </w:r>
    </w:p>
    <w:p>
      <w:pPr>
        <w:spacing w:after="80"/>
      </w:pPr>
      <w:r>
        <w:rPr>
          <w:b w:val="0"/>
          <w:i w:val="0"/>
          <w:sz w:val="21"/>
        </w:rPr>
        <w:t>We are The Hackett Group. We bring the methodology, the proprietary platform, and the engineering team to this engagement under a single firm. The capability you see here is not assembled from partners; it is one organisation's combined offering. The three pillars below set out what we put on the table.</w:t>
      </w:r>
    </w:p>
    <w:p>
      <w:pPr>
        <w:spacing w:after="80"/>
      </w:pPr>
      <w:r>
        <w:rPr>
          <w:b/>
          <w:i w:val="0"/>
          <w:sz w:val="21"/>
        </w:rPr>
        <w:t>The Hackett AI Development Methodology.</w:t>
      </w:r>
    </w:p>
    <w:p>
      <w:pPr>
        <w:spacing w:after="80"/>
      </w:pPr>
      <w:r>
        <w:rPr>
          <w:b w:val="0"/>
          <w:i w:val="0"/>
          <w:sz w:val="21"/>
        </w:rPr>
        <w:t>Our methodology for AI engagements: Functional Design, Visual and Technical Design, MVP Development, Testing and Deployment, Continuous Improvement. The methodology is what we run this engagement against, and is the reason we can compress to eight weeks.</w:t>
      </w:r>
    </w:p>
    <w:p>
      <w:pPr>
        <w:spacing w:after="80"/>
      </w:pPr>
      <w:r>
        <w:rPr>
          <w:b/>
          <w:i w:val="0"/>
          <w:sz w:val="21"/>
        </w:rPr>
        <w:t>ZBrain, our proprietary enterprise Agentic AI platform.</w:t>
      </w:r>
    </w:p>
    <w:p>
      <w:pPr>
        <w:spacing w:after="80"/>
      </w:pPr>
      <w:r>
        <w:rPr>
          <w:b w:val="0"/>
          <w:i w:val="0"/>
          <w:sz w:val="21"/>
        </w:rPr>
        <w:t>ZBrain is the Hackett platform we will build the solution on. It carries the AI primitives as configurable building blocks: knowledge-base authoring, multilingual classification, document understanding, confidence-gated decisioning, monitoring, guardrails, observability. These are platform capabilities we configure for Keysight, not code we write from scratch.</w:t>
      </w:r>
    </w:p>
    <w:p>
      <w:pPr>
        <w:spacing w:after="80"/>
      </w:pPr>
      <w:r>
        <w:rPr>
          <w:b/>
          <w:i w:val="0"/>
          <w:sz w:val="21"/>
        </w:rPr>
        <w:t>Engineering continuity from Keysight's prior POC.</w:t>
      </w:r>
    </w:p>
    <w:p>
      <w:pPr>
        <w:spacing w:after="80"/>
      </w:pPr>
      <w:r>
        <w:rPr>
          <w:b w:val="0"/>
          <w:i w:val="0"/>
          <w:sz w:val="21"/>
        </w:rPr>
        <w:t>The Hackett engineers who delivered Keysight's prior POC are part of the proposed MVP delivery team. The institutional context on Keysight's CSR rule book, the AIOA validation pattern, and the multi-format attachment handling comes with them into the MVP build.</w:t>
      </w:r>
    </w:p>
    <w:p>
      <w:pPr>
        <w:spacing w:after="80"/>
      </w:pPr>
      <w:r>
        <w:rPr>
          <w:b w:val="0"/>
          <w:i w:val="0"/>
          <w:sz w:val="21"/>
        </w:rPr>
        <w:t>The subsections below describe four specific AI capabilities the solution will deliver for Keysight's seven RFP use cases: classification, extraction, confidence scoring, and translation. They map onto the RFP's Core Functional Requirements (Email classification, Document Intelligence &amp; Data Extraction, Confidence-Gated Decision Engine, Customer Communication). The broader catalogue of ZBrain platform capabilities sits in our response to the RFP Product Features sheet (Section 2).</w:t>
      </w:r>
    </w:p>
    <w:p>
      <w:pPr>
        <w:spacing w:after="80"/>
      </w:pPr>
      <w:r>
        <w:rPr>
          <w:b w:val="0"/>
          <w:i w:val="0"/>
          <w:sz w:val="21"/>
        </w:rPr>
        <w:t>Each subsection follows the same shape: what needs to be true for Keysight, how we approach building it, how we measure quality, and the evidence that gives us confidence we can deliver. Implementation choices that are best deferred to Functional Design (specific model providers, specific OCR services, specific framework selections) are called out as such; locking those at proposal stage would be premature.</w:t>
      </w:r>
    </w:p>
    <w:p>
      <w:pPr>
        <w:pStyle w:val="Heading2"/>
        <w:spacing w:before="160" w:after="80"/>
      </w:pPr>
      <w:r>
        <w:rPr>
          <w:color w:val="131426"/>
        </w:rPr>
        <w:t>5.1 Classification</w:t>
      </w:r>
    </w:p>
    <w:p>
      <w:pPr>
        <w:spacing w:after="80"/>
      </w:pPr>
      <w:r>
        <w:rPr>
          <w:b/>
          <w:i w:val="0"/>
          <w:sz w:val="21"/>
        </w:rPr>
        <w:t>What needs to be true.</w:t>
      </w:r>
    </w:p>
    <w:p>
      <w:pPr>
        <w:spacing w:after="80"/>
      </w:pPr>
      <w:r>
        <w:rPr>
          <w:b w:val="0"/>
          <w:i w:val="0"/>
          <w:sz w:val="21"/>
        </w:rPr>
        <w:t>The classifier has to distinguish, with high accuracy, between the seven RFP-named use cases and the operational triage classes Keysight already uses (KSO redirect, Brazil Tax, Portal Admin, Collections, Auto-Reply, Undeliverable, internal Keysight forwards, Others). It has to apply the same rules your CSRs apply in their heads today: a PO mentioned alongside a Work Order is a service request not a sales PO; an acknowledgement-only thread is not a new PO; a credit-card mention without a valid PO number is not promoted to Sales PO; an 'FYI' that hides the real request earlier in the thread is walked back through the thread. It has to do this in sixteen languages, across approximately 50 mailboxes, at quarter-end burst volume.</w:t>
      </w:r>
    </w:p>
    <w:p>
      <w:pPr>
        <w:spacing w:after="80"/>
      </w:pPr>
      <w:r>
        <w:rPr>
          <w:b/>
          <w:i w:val="0"/>
          <w:sz w:val="21"/>
        </w:rPr>
        <w:t>How we approach building it.</w:t>
      </w:r>
    </w:p>
    <w:p>
      <w:pPr>
        <w:pStyle w:val="ListBullet"/>
        <w:spacing w:after="40"/>
      </w:pPr>
      <w:r>
        <w:rPr>
          <w:sz w:val="21"/>
        </w:rPr>
        <w:t>Knowledge-base authoring of intent definitions. Each intent carries its own keywords, sender patterns, examples, exceptions, and per-region applicability. The knowledge base is editable by Keysight rule owners; the agent re-reads it on every classification, so updates take effect immediately without a developer release cycle.</w:t>
      </w:r>
    </w:p>
    <w:p>
      <w:pPr>
        <w:pStyle w:val="ListBullet"/>
        <w:spacing w:after="40"/>
      </w:pPr>
      <w:r>
        <w:rPr>
          <w:sz w:val="21"/>
        </w:rPr>
        <w:t>A two-pass design. The first pass reads the email in full context and proposes an intent. The second pass cross-checks the proposal against Keysight's operational rules and either confirms it or overrides it with the reason recorded. Both passes are logged for audit. This two-pass pattern is what your existing POC uses.</w:t>
      </w:r>
    </w:p>
    <w:p>
      <w:pPr>
        <w:pStyle w:val="ListBullet"/>
        <w:spacing w:after="40"/>
      </w:pPr>
      <w:r>
        <w:rPr>
          <w:sz w:val="21"/>
        </w:rPr>
        <w:t>Per-source language detection, so an attached PO in Spanish does not pull the body classification off track. Each source carries its own language tag through the pipeline.</w:t>
      </w:r>
    </w:p>
    <w:p>
      <w:pPr>
        <w:pStyle w:val="ListBullet"/>
        <w:spacing w:after="40"/>
      </w:pPr>
      <w:r>
        <w:rPr>
          <w:sz w:val="21"/>
        </w:rPr>
        <w:t>Thread-fragment handling, so empty forwards, CAUTION banners, and quoted-only replies do not collapse a classification. The agent walks back through the thread until it finds genuine business content.</w:t>
      </w:r>
    </w:p>
    <w:p>
      <w:pPr>
        <w:pStyle w:val="ListBullet"/>
        <w:spacing w:after="40"/>
      </w:pPr>
      <w:r>
        <w:rPr>
          <w:sz w:val="21"/>
        </w:rPr>
        <w:t>CSR-instruction override detection, so a Keysight staff member's routing direction inside the email body (for example, 'please route to the SOW team') supersedes the default routing.</w:t>
      </w:r>
    </w:p>
    <w:p>
      <w:pPr>
        <w:pStyle w:val="ListBullet"/>
        <w:spacing w:after="40"/>
      </w:pPr>
      <w:r>
        <w:rPr>
          <w:sz w:val="21"/>
        </w:rPr>
        <w:t>Drift detection on a rolling baseline of classification mix and confidence distribution, with alerts on material deviation.</w:t>
      </w:r>
    </w:p>
    <w:p>
      <w:pPr>
        <w:spacing w:after="80"/>
      </w:pPr>
      <w:r>
        <w:rPr>
          <w:b/>
          <w:i w:val="0"/>
          <w:sz w:val="21"/>
        </w:rPr>
        <w:t>How we measure quality.</w:t>
      </w:r>
    </w:p>
    <w:p>
      <w:pPr>
        <w:pStyle w:val="ListBullet"/>
        <w:spacing w:after="40"/>
      </w:pPr>
      <w:r>
        <w:rPr>
          <w:sz w:val="21"/>
        </w:rPr>
        <w:t>A regression corpus drawn from Keysight's existing labelled mail, run at every sprint cut. Acceptance is the 90 percent threshold the RFP names, with accuracy reported per intent, per language, and per region.</w:t>
      </w:r>
    </w:p>
    <w:p>
      <w:pPr>
        <w:pStyle w:val="ListBullet"/>
        <w:spacing w:after="40"/>
      </w:pPr>
      <w:r>
        <w:rPr>
          <w:sz w:val="21"/>
        </w:rPr>
        <w:t>Confidence-binned accuracy, so we see whether errors cluster at the high-confidence end (a serious issue) or the low-confidence end (the human-in-the-loop queue is doing its job).</w:t>
      </w:r>
    </w:p>
    <w:p>
      <w:pPr>
        <w:pStyle w:val="ListBullet"/>
        <w:spacing w:after="40"/>
      </w:pPr>
      <w:r>
        <w:rPr>
          <w:sz w:val="21"/>
        </w:rPr>
        <w:t>Per-CSR-correction tracking, so we can see whether a specific rule keeps surfacing edits and prioritise the rule-book fix.</w:t>
      </w:r>
    </w:p>
    <w:p>
      <w:pPr>
        <w:spacing w:after="80"/>
      </w:pPr>
      <w:r>
        <w:rPr>
          <w:b/>
          <w:i w:val="0"/>
          <w:sz w:val="21"/>
        </w:rPr>
        <w:t>What gives us confidence we can deliver this.</w:t>
      </w:r>
    </w:p>
    <w:p>
      <w:pPr>
        <w:spacing w:after="80"/>
      </w:pPr>
      <w:r>
        <w:rPr>
          <w:b w:val="0"/>
          <w:i w:val="0"/>
          <w:sz w:val="21"/>
        </w:rPr>
        <w:t>The ZBrain platform's classification primitives are in production across enterprise email-automation use cases comparable to Keysight's. The two-pass pattern was validated in your prior POC; the engineers who carried that work are part of the proposed MVP delivery team, so the classification logic does not have to be re-derived from scratch. The knowledge-base authoring surface is a first-class platform capability, not a custom build for this engagement.</w:t>
      </w:r>
    </w:p>
    <w:p>
      <w:pPr>
        <w:pStyle w:val="Heading2"/>
        <w:spacing w:before="160" w:after="80"/>
      </w:pPr>
      <w:r>
        <w:rPr>
          <w:color w:val="131426"/>
        </w:rPr>
        <w:t>5.2 Extraction and Document Intelligence</w:t>
      </w:r>
    </w:p>
    <w:p>
      <w:pPr>
        <w:spacing w:after="80"/>
      </w:pPr>
      <w:r>
        <w:rPr>
          <w:b/>
          <w:i w:val="0"/>
          <w:sz w:val="21"/>
        </w:rPr>
        <w:t>What needs to be true.</w:t>
      </w:r>
    </w:p>
    <w:p>
      <w:pPr>
        <w:spacing w:after="80"/>
      </w:pPr>
      <w:r>
        <w:rPr>
          <w:b w:val="0"/>
          <w:i w:val="0"/>
          <w:sz w:val="21"/>
        </w:rPr>
        <w:t>Every RFP use case needs a different set of fields. A PO Received case needs PO number, model, serial, ship-to, dollar amount, currency, Final Destination country, and quote reference. A Work Order case needs WO number plus the Model and Serial pairs (often multiple per email). A Service Contract case needs agreement type, sub-type, and term. The agent has to extract these reliably from the document formats your customers actually send: PDFs, Word, Excel (including the Trade Credit RMU and Summary tab patterns used for partner Rebates), scanned images, HTML, plain text, and embedded Outlook items.</w:t>
      </w:r>
    </w:p>
    <w:p>
      <w:pPr>
        <w:spacing w:after="80"/>
      </w:pPr>
      <w:r>
        <w:rPr>
          <w:b/>
          <w:i w:val="0"/>
          <w:sz w:val="21"/>
        </w:rPr>
        <w:t>How we approach building it.</w:t>
      </w:r>
    </w:p>
    <w:p>
      <w:pPr>
        <w:pStyle w:val="ListBullet"/>
        <w:spacing w:after="40"/>
      </w:pPr>
      <w:r>
        <w:rPr>
          <w:sz w:val="21"/>
        </w:rPr>
        <w:t>Per-intent extraction schemas held in the knowledge base. Each use case carries the fields it needs, the type and format rules for each field, and any per-region overrides. Rule owners edit the schema; no code change is required to add a new field.</w:t>
      </w:r>
    </w:p>
    <w:p>
      <w:pPr>
        <w:pStyle w:val="ListBullet"/>
        <w:spacing w:after="40"/>
      </w:pPr>
      <w:r>
        <w:rPr>
          <w:sz w:val="21"/>
        </w:rPr>
        <w:t>Layered document intelligence. Industry-leading OCR and form-recognition services handle structured documents; vision-capable AI handles image-only content; native parsers handle Word, Excel, HTML, and plain text. Embedded Outlook items are unrolled so the inner email and its own attachments are surfaced.</w:t>
      </w:r>
    </w:p>
    <w:p>
      <w:pPr>
        <w:pStyle w:val="ListBullet"/>
        <w:spacing w:after="40"/>
      </w:pPr>
      <w:r>
        <w:rPr>
          <w:sz w:val="21"/>
        </w:rPr>
        <w:t>Multi-asset detection. Where the email contains multiple Model and Serial pairs, the agent extracts each pair and prepares the fan-out to one CCC per asset, mirroring Keysight's published rule.</w:t>
      </w:r>
    </w:p>
    <w:p>
      <w:pPr>
        <w:pStyle w:val="ListBullet"/>
        <w:spacing w:after="40"/>
      </w:pPr>
      <w:r>
        <w:rPr>
          <w:sz w:val="21"/>
        </w:rPr>
        <w:t>Magic-SKU detection that respects Keysight's existing conventions: CUSTOM PRODUCT for unresolved SKUs, SOWDUMMY for Statement-of-Work routing, EXPORTDUMMY for non-US destinations.</w:t>
      </w:r>
    </w:p>
    <w:p>
      <w:pPr>
        <w:pStyle w:val="ListBullet"/>
        <w:spacing w:after="40"/>
      </w:pPr>
      <w:r>
        <w:rPr>
          <w:sz w:val="21"/>
        </w:rPr>
        <w:t>Entity resolution into Salesforce. Sender email to Contact, name lookup fallback, PO and WO numbers to existing CCC. Where Salesforce does not yet hold the customer, the agent triggers the standard CMD activation request your team uses today.</w:t>
      </w:r>
    </w:p>
    <w:p>
      <w:pPr>
        <w:spacing w:after="80"/>
      </w:pPr>
      <w:r>
        <w:rPr>
          <w:b/>
          <w:i w:val="0"/>
          <w:sz w:val="21"/>
        </w:rPr>
        <w:t>How we measure quality.</w:t>
      </w:r>
    </w:p>
    <w:p>
      <w:pPr>
        <w:pStyle w:val="ListBullet"/>
        <w:spacing w:after="40"/>
      </w:pPr>
      <w:r>
        <w:rPr>
          <w:sz w:val="21"/>
        </w:rPr>
        <w:t>Per-field accuracy on a labelled corpus, broken out by attachment type so we can see where the failure modes cluster.</w:t>
      </w:r>
    </w:p>
    <w:p>
      <w:pPr>
        <w:pStyle w:val="ListBullet"/>
        <w:spacing w:after="40"/>
      </w:pPr>
      <w:r>
        <w:rPr>
          <w:sz w:val="21"/>
        </w:rPr>
        <w:t>Per-language extraction accuracy, since OCR providers vary by language and we need to know it before production.</w:t>
      </w:r>
    </w:p>
    <w:p>
      <w:pPr>
        <w:pStyle w:val="ListBullet"/>
        <w:spacing w:after="40"/>
      </w:pPr>
      <w:r>
        <w:rPr>
          <w:sz w:val="21"/>
        </w:rPr>
        <w:t>Edge-case audit: a sample of complex emails (multi-asset, multi-language, deeply nested forwards, scanned-only attachments) is reviewed manually every sprint to confirm extraction quality at the long tail.</w:t>
      </w:r>
    </w:p>
    <w:p>
      <w:pPr>
        <w:spacing w:after="80"/>
      </w:pPr>
      <w:r>
        <w:rPr>
          <w:b/>
          <w:i w:val="0"/>
          <w:sz w:val="21"/>
        </w:rPr>
        <w:t>What gives us confidence we can deliver this.</w:t>
      </w:r>
    </w:p>
    <w:p>
      <w:pPr>
        <w:spacing w:after="80"/>
      </w:pPr>
      <w:r>
        <w:rPr>
          <w:b w:val="0"/>
          <w:i w:val="0"/>
          <w:sz w:val="21"/>
        </w:rPr>
        <w:t>Multi-format document intelligence is a core ZBrain capability, deployed across enterprise customers handling attachment complexity comparable to Keysight's. The Rebate Trade Credit RMU pattern, the multi-asset fan-out rule, and the magic-SKU conventions were validated in your prior POC. Selecting the specific OCR provider is a Functional Design decision in Sprint 1; we keep that choice open so it can be made against Keysight's enterprise standards and the latest model landscape at delivery time.</w:t>
      </w:r>
    </w:p>
    <w:p>
      <w:pPr>
        <w:pStyle w:val="Heading2"/>
        <w:spacing w:before="160" w:after="80"/>
      </w:pPr>
      <w:r>
        <w:rPr>
          <w:color w:val="131426"/>
        </w:rPr>
        <w:t>5.3 Confidence scoring</w:t>
      </w:r>
    </w:p>
    <w:p>
      <w:pPr>
        <w:spacing w:after="80"/>
      </w:pPr>
      <w:r>
        <w:rPr>
          <w:b/>
          <w:i w:val="0"/>
          <w:sz w:val="21"/>
        </w:rPr>
        <w:t>What needs to be true.</w:t>
      </w:r>
    </w:p>
    <w:p>
      <w:pPr>
        <w:spacing w:after="80"/>
      </w:pPr>
      <w:r>
        <w:rPr>
          <w:b w:val="0"/>
          <w:i w:val="0"/>
          <w:sz w:val="21"/>
        </w:rPr>
        <w:t>The Q&amp;A call clarified that confidence is not a single weighted number. It is four independent per-transaction gates: Classification (did the agent identify the intent correctly?), Extraction (did the agent extract every required field with the right format and range?), Entity Resolution (did the agent find the matching Salesforce record?), and Action Feasibility (can the downstream action actually execute?). The autonomy tier follows directly from the lowest gate.</w:t>
      </w:r>
    </w:p>
    <w:tbl>
      <w:tblPr>
        <w:tblStyle w:val="LightGrid-Accent1"/>
        <w:tblW w:type="auto" w:w="0"/>
        <w:tblLook w:firstColumn="1" w:firstRow="1" w:lastColumn="0" w:lastRow="0" w:noHBand="0" w:noVBand="1" w:val="04A0"/>
      </w:tblPr>
      <w:tblGrid>
        <w:gridCol w:w="3289"/>
        <w:gridCol w:w="3289"/>
        <w:gridCol w:w="3289"/>
      </w:tblGrid>
      <w:tr>
        <w:tc>
          <w:tcPr>
            <w:tcW w:type="dxa" w:w="3289"/>
            <w:shd w:val="clear" w:color="auto" w:fill="1A55F9"/>
          </w:tcPr>
          <w:p>
            <w:r>
              <w:rPr>
                <w:b/>
                <w:color w:val="FFFFFF"/>
                <w:sz w:val="20"/>
              </w:rPr>
              <w:t>Gate</w:t>
            </w:r>
          </w:p>
        </w:tc>
        <w:tc>
          <w:tcPr>
            <w:tcW w:type="dxa" w:w="3289"/>
            <w:shd w:val="clear" w:color="auto" w:fill="1A55F9"/>
          </w:tcPr>
          <w:p>
            <w:r>
              <w:rPr>
                <w:b/>
                <w:color w:val="FFFFFF"/>
                <w:sz w:val="20"/>
              </w:rPr>
              <w:t>What it answers</w:t>
            </w:r>
          </w:p>
        </w:tc>
        <w:tc>
          <w:tcPr>
            <w:tcW w:type="dxa" w:w="3289"/>
            <w:shd w:val="clear" w:color="auto" w:fill="1A55F9"/>
          </w:tcPr>
          <w:p>
            <w:r>
              <w:rPr>
                <w:b/>
                <w:color w:val="FFFFFF"/>
                <w:sz w:val="20"/>
              </w:rPr>
              <w:t>Pass criterion</w:t>
            </w:r>
          </w:p>
        </w:tc>
      </w:tr>
      <w:tr>
        <w:tc>
          <w:tcPr>
            <w:tcW w:type="dxa" w:w="3289"/>
            <w:vAlign w:val="top"/>
          </w:tcPr>
          <w:p>
            <w:r>
              <w:rPr>
                <w:sz w:val="19"/>
              </w:rPr>
              <w:t>Classification confidence</w:t>
            </w:r>
          </w:p>
        </w:tc>
        <w:tc>
          <w:tcPr>
            <w:tcW w:type="dxa" w:w="3289"/>
            <w:vAlign w:val="top"/>
          </w:tcPr>
          <w:p>
            <w:r>
              <w:rPr>
                <w:sz w:val="19"/>
              </w:rPr>
              <w:t>Did the agent classify the request correctly against Keysight's rule book?</w:t>
            </w:r>
          </w:p>
        </w:tc>
        <w:tc>
          <w:tcPr>
            <w:tcW w:type="dxa" w:w="3289"/>
            <w:vAlign w:val="top"/>
          </w:tcPr>
          <w:p>
            <w:r>
              <w:rPr>
                <w:sz w:val="19"/>
              </w:rPr>
              <w:t>Both classification passes agree; the proposed intent is consistent with the rules.</w:t>
            </w:r>
          </w:p>
        </w:tc>
      </w:tr>
      <w:tr>
        <w:tc>
          <w:tcPr>
            <w:tcW w:type="dxa" w:w="3289"/>
            <w:vAlign w:val="top"/>
          </w:tcPr>
          <w:p>
            <w:r>
              <w:rPr>
                <w:sz w:val="19"/>
              </w:rPr>
              <w:t>Extraction confidence</w:t>
            </w:r>
          </w:p>
        </w:tc>
        <w:tc>
          <w:tcPr>
            <w:tcW w:type="dxa" w:w="3289"/>
            <w:vAlign w:val="top"/>
          </w:tcPr>
          <w:p>
            <w:r>
              <w:rPr>
                <w:sz w:val="19"/>
              </w:rPr>
              <w:t>Did the agent extract every field the downstream action needs?</w:t>
            </w:r>
          </w:p>
        </w:tc>
        <w:tc>
          <w:tcPr>
            <w:tcW w:type="dxa" w:w="3289"/>
            <w:vAlign w:val="top"/>
          </w:tcPr>
          <w:p>
            <w:r>
              <w:rPr>
                <w:sz w:val="19"/>
              </w:rPr>
              <w:t>All schema-required fields are populated and pass format and range validation.</w:t>
            </w:r>
          </w:p>
        </w:tc>
      </w:tr>
      <w:tr>
        <w:tc>
          <w:tcPr>
            <w:tcW w:type="dxa" w:w="3289"/>
            <w:vAlign w:val="top"/>
          </w:tcPr>
          <w:p>
            <w:r>
              <w:rPr>
                <w:sz w:val="19"/>
              </w:rPr>
              <w:t>Entity Resolution confidence</w:t>
            </w:r>
          </w:p>
        </w:tc>
        <w:tc>
          <w:tcPr>
            <w:tcW w:type="dxa" w:w="3289"/>
            <w:vAlign w:val="top"/>
          </w:tcPr>
          <w:p>
            <w:r>
              <w:rPr>
                <w:sz w:val="19"/>
              </w:rPr>
              <w:t>Did the agent find the matching Salesforce records (Contact, Account, existing CCC, Quote, Order)?</w:t>
            </w:r>
          </w:p>
        </w:tc>
        <w:tc>
          <w:tcPr>
            <w:tcW w:type="dxa" w:w="3289"/>
            <w:vAlign w:val="top"/>
          </w:tcPr>
          <w:p>
            <w:r>
              <w:rPr>
                <w:sz w:val="19"/>
              </w:rPr>
              <w:t>Binary: the records are found or they are not.</w:t>
            </w:r>
          </w:p>
        </w:tc>
      </w:tr>
      <w:tr>
        <w:tc>
          <w:tcPr>
            <w:tcW w:type="dxa" w:w="3289"/>
            <w:vAlign w:val="top"/>
          </w:tcPr>
          <w:p>
            <w:r>
              <w:rPr>
                <w:sz w:val="19"/>
              </w:rPr>
              <w:t>Action Feasibility confidence</w:t>
            </w:r>
          </w:p>
        </w:tc>
        <w:tc>
          <w:tcPr>
            <w:tcW w:type="dxa" w:w="3289"/>
            <w:vAlign w:val="top"/>
          </w:tcPr>
          <w:p>
            <w:r>
              <w:rPr>
                <w:sz w:val="19"/>
              </w:rPr>
              <w:t>Can the downstream write (CCC create, Order update, Docunet filing, customer reply) actually execute with what was resolved?</w:t>
            </w:r>
          </w:p>
        </w:tc>
        <w:tc>
          <w:tcPr>
            <w:tcW w:type="dxa" w:w="3289"/>
            <w:vAlign w:val="top"/>
          </w:tcPr>
          <w:p>
            <w:r>
              <w:rPr>
                <w:sz w:val="19"/>
              </w:rPr>
              <w:t>All Salesforce and Oracle write-path field requirements are satisfiable.</w:t>
            </w:r>
          </w:p>
        </w:tc>
      </w:tr>
    </w:tbl>
    <w:p>
      <w:pPr>
        <w:spacing w:after="80"/>
      </w:pPr>
      <w:r>
        <w:rPr>
          <w:b/>
          <w:i w:val="0"/>
          <w:sz w:val="21"/>
        </w:rPr>
        <w:t>How we approach building it.</w:t>
      </w:r>
    </w:p>
    <w:p>
      <w:pPr>
        <w:pStyle w:val="ListBullet"/>
        <w:spacing w:after="40"/>
      </w:pPr>
      <w:r>
        <w:rPr>
          <w:sz w:val="21"/>
        </w:rPr>
        <w:t>Composite confidence is min(gates), not a weighted average. A weak link anywhere blocks autonomous action. This mirrors how a careful CSR thinks: if any one piece does not fit, the whole transaction is held.</w:t>
      </w:r>
    </w:p>
    <w:p>
      <w:pPr>
        <w:pStyle w:val="ListBullet"/>
        <w:spacing w:after="40"/>
      </w:pPr>
      <w:r>
        <w:rPr>
          <w:sz w:val="21"/>
        </w:rPr>
        <w:t>Per-gate scores are surfaced to the CSR in the human-in-the-loop view, so the team knows precisely which gate is the limiting factor.</w:t>
      </w:r>
    </w:p>
    <w:p>
      <w:pPr>
        <w:pStyle w:val="ListBullet"/>
        <w:spacing w:after="40"/>
      </w:pPr>
      <w:r>
        <w:rPr>
          <w:sz w:val="21"/>
        </w:rPr>
        <w:t>CSR override is always available. A CSR can force any case to full review regardless of the score; the override is captured as feedback into the rule book.</w:t>
      </w:r>
    </w:p>
    <w:p>
      <w:pPr>
        <w:pStyle w:val="ListBullet"/>
        <w:spacing w:after="40"/>
      </w:pPr>
      <w:r>
        <w:rPr>
          <w:sz w:val="21"/>
        </w:rPr>
        <w:t>Tier thresholds (the score boundaries for high, mid, and low confidence) are configurable per use case, so Keysight can tune autonomy by business risk.</w:t>
      </w:r>
    </w:p>
    <w:p>
      <w:pPr>
        <w:pStyle w:val="ListBullet"/>
        <w:spacing w:after="40"/>
      </w:pPr>
      <w:r>
        <w:rPr>
          <w:sz w:val="21"/>
        </w:rPr>
        <w:t>A drift detector watches the confidence distribution. If confidence-binning shifts materially over the rolling baseline, the operations team is alerted.</w:t>
      </w:r>
    </w:p>
    <w:p>
      <w:pPr>
        <w:spacing w:after="80"/>
      </w:pPr>
      <w:r>
        <w:rPr>
          <w:b/>
          <w:i w:val="0"/>
          <w:sz w:val="21"/>
        </w:rPr>
        <w:t>How we measure quality.</w:t>
      </w:r>
    </w:p>
    <w:p>
      <w:pPr>
        <w:pStyle w:val="ListBullet"/>
        <w:spacing w:after="40"/>
      </w:pPr>
      <w:r>
        <w:rPr>
          <w:sz w:val="21"/>
        </w:rPr>
        <w:t>Per-tier post-hoc accuracy: actions taken at the high-confidence tier are sampled and reviewed; the acceptance bar on that sample is agreed with Keysight rule owners at Functional Design.</w:t>
      </w:r>
    </w:p>
    <w:p>
      <w:pPr>
        <w:pStyle w:val="ListBullet"/>
        <w:spacing w:after="40"/>
      </w:pPr>
      <w:r>
        <w:rPr>
          <w:sz w:val="21"/>
        </w:rPr>
        <w:t>Mid-tier approval rate: the share of mid-confidence cases the CSR approves without edit. A low approval rate signals that the mid-tier threshold is too generous.</w:t>
      </w:r>
    </w:p>
    <w:p>
      <w:pPr>
        <w:pStyle w:val="ListBullet"/>
        <w:spacing w:after="40"/>
      </w:pPr>
      <w:r>
        <w:rPr>
          <w:sz w:val="21"/>
        </w:rPr>
        <w:t>Low-tier turnaround: time from low-confidence surface to operator resolve, against the service level agreed with Keysight at Functional Design.</w:t>
      </w:r>
    </w:p>
    <w:p>
      <w:pPr>
        <w:spacing w:after="80"/>
      </w:pPr>
      <w:r>
        <w:rPr>
          <w:b/>
          <w:i w:val="0"/>
          <w:sz w:val="21"/>
        </w:rPr>
        <w:t>What gives us confidence we can deliver this.</w:t>
      </w:r>
    </w:p>
    <w:p>
      <w:pPr>
        <w:spacing w:after="80"/>
      </w:pPr>
      <w:r>
        <w:rPr>
          <w:b w:val="0"/>
          <w:i w:val="0"/>
          <w:sz w:val="21"/>
        </w:rPr>
        <w:t>The four-gate model is consistent with how Keysight's POC scores classifier output; the extension to the other three gates is straightforward against the platform's monitor primitives. Tier-based autonomy is configuration, not code. The per-gate display in the operator portal is a known ZBrain pattern, not a bespoke build.</w:t>
      </w:r>
    </w:p>
    <w:p>
      <w:pPr>
        <w:pStyle w:val="Heading2"/>
        <w:spacing w:before="160" w:after="80"/>
      </w:pPr>
      <w:r>
        <w:rPr>
          <w:color w:val="131426"/>
        </w:rPr>
        <w:t>5.4 Translation</w:t>
      </w:r>
    </w:p>
    <w:p>
      <w:pPr>
        <w:spacing w:after="80"/>
      </w:pPr>
      <w:r>
        <w:rPr>
          <w:b/>
          <w:i w:val="0"/>
          <w:sz w:val="21"/>
        </w:rPr>
        <w:t>What needs to be true.</w:t>
      </w:r>
    </w:p>
    <w:p>
      <w:pPr>
        <w:spacing w:after="80"/>
      </w:pPr>
      <w:r>
        <w:rPr>
          <w:b w:val="0"/>
          <w:i w:val="0"/>
          <w:sz w:val="21"/>
        </w:rPr>
        <w:t>Inbound customer email arrives in many languages; Keysight's internal systems are not standardised to English. The sixteen languages named in the RFP must be supported at deployment: English, French including Canadian French, Spanish, Brazilian Portuguese, Korean, Simplified Chinese, Traditional Chinese, Vietnamese, Dutch, Swedish, Danish, Finnish, German, Italian, Czech, and Japanese.</w:t>
      </w:r>
    </w:p>
    <w:p>
      <w:pPr>
        <w:spacing w:after="80"/>
      </w:pPr>
      <w:r>
        <w:rPr>
          <w:b/>
          <w:i w:val="0"/>
          <w:sz w:val="21"/>
        </w:rPr>
        <w:t>How we approach building it.</w:t>
      </w:r>
    </w:p>
    <w:p>
      <w:pPr>
        <w:pStyle w:val="ListBullet"/>
        <w:spacing w:after="40"/>
      </w:pPr>
      <w:r>
        <w:rPr>
          <w:sz w:val="21"/>
        </w:rPr>
        <w:t>Per-source language detection. The body and each attachment are detected independently so that an English cover email with a Spanish PO is handled correctly.</w:t>
      </w:r>
    </w:p>
    <w:p>
      <w:pPr>
        <w:pStyle w:val="ListBullet"/>
        <w:spacing w:after="40"/>
      </w:pPr>
      <w:r>
        <w:rPr>
          <w:sz w:val="21"/>
        </w:rPr>
        <w:t>Multilingual reasoning. The agent reasons against a normalised internal representation; the operational rules apply consistently regardless of source language.</w:t>
      </w:r>
    </w:p>
    <w:p>
      <w:pPr>
        <w:pStyle w:val="ListBullet"/>
        <w:spacing w:after="40"/>
      </w:pPr>
      <w:r>
        <w:rPr>
          <w:sz w:val="21"/>
        </w:rPr>
        <w:t>Per-language glossary held in the knowledge base. Keysight's existing translation knowledge base is merged in at deployment; SalesOps-specific terminology is added; rule owners can edit per-term mappings without code.</w:t>
      </w:r>
    </w:p>
    <w:p>
      <w:pPr>
        <w:pStyle w:val="ListBullet"/>
        <w:spacing w:after="40"/>
      </w:pPr>
      <w:r>
        <w:rPr>
          <w:sz w:val="21"/>
        </w:rPr>
        <w:t>Reply drafting in the customer's detected language. On high-confidence cases the reply publishes automatically; on mid and low confidence a CSR reviews before publish.</w:t>
      </w:r>
    </w:p>
    <w:p>
      <w:pPr>
        <w:spacing w:after="80"/>
      </w:pPr>
      <w:r>
        <w:rPr>
          <w:b/>
          <w:i w:val="0"/>
          <w:sz w:val="21"/>
        </w:rPr>
        <w:t>How we measure quality.</w:t>
      </w:r>
    </w:p>
    <w:p>
      <w:pPr>
        <w:pStyle w:val="ListBullet"/>
        <w:spacing w:after="40"/>
      </w:pPr>
      <w:r>
        <w:rPr>
          <w:sz w:val="21"/>
        </w:rPr>
        <w:t>Bilingual reply review at the CSR step in early sprints, especially for the higher-volume non-English languages.</w:t>
      </w:r>
    </w:p>
    <w:p>
      <w:pPr>
        <w:pStyle w:val="ListBullet"/>
        <w:spacing w:after="40"/>
      </w:pPr>
      <w:r>
        <w:rPr>
          <w:sz w:val="21"/>
        </w:rPr>
        <w:t>Sampled native-speaker review for languages where Keysight CSRs include fluent speakers.</w:t>
      </w:r>
    </w:p>
    <w:p>
      <w:pPr>
        <w:pStyle w:val="ListBullet"/>
        <w:spacing w:after="40"/>
      </w:pPr>
      <w:r>
        <w:rPr>
          <w:sz w:val="21"/>
        </w:rPr>
        <w:t>Glossary coverage measured against actual term occurrences in the inbound corpus, so the team sees which SalesOps-specific terms are still being translated generically.</w:t>
      </w:r>
    </w:p>
    <w:p>
      <w:pPr>
        <w:spacing w:after="80"/>
      </w:pPr>
      <w:r>
        <w:rPr>
          <w:b/>
          <w:i w:val="0"/>
          <w:sz w:val="21"/>
        </w:rPr>
        <w:t>What gives us confidence we can deliver this.</w:t>
      </w:r>
    </w:p>
    <w:p>
      <w:pPr>
        <w:spacing w:after="80"/>
      </w:pPr>
      <w:r>
        <w:rPr>
          <w:b w:val="0"/>
          <w:i w:val="0"/>
          <w:sz w:val="21"/>
        </w:rPr>
        <w:t>Multilingual document understanding and reply drafting are first-class ZBrain platform capabilities. The major frontier-model families all carry production-grade coverage of the RFP language list. The glossary-merge pattern is a standard configuration step. Keysight already operates with translation reuse internally, so the operational pattern is familiar to the team.</w:t>
      </w:r>
    </w:p>
    <w:p>
      <w:pPr>
        <w:pStyle w:val="Heading2"/>
        <w:spacing w:before="160" w:after="80"/>
      </w:pPr>
      <w:r>
        <w:rPr>
          <w:color w:val="131426"/>
        </w:rPr>
        <w:t>5.5 Continuous improvement</w:t>
      </w:r>
    </w:p>
    <w:p>
      <w:pPr>
        <w:spacing w:after="80"/>
      </w:pPr>
      <w:r>
        <w:rPr>
          <w:b/>
          <w:i w:val="0"/>
          <w:sz w:val="21"/>
        </w:rPr>
        <w:t>What needs to be true.</w:t>
      </w:r>
    </w:p>
    <w:p>
      <w:pPr>
        <w:spacing w:after="80"/>
      </w:pPr>
      <w:r>
        <w:rPr>
          <w:b w:val="0"/>
          <w:i w:val="0"/>
          <w:sz w:val="21"/>
        </w:rPr>
        <w:t>The agent has to get better at its job over time as Keysight's team corrects it, your inbound mix evolves, and new edge cases emerge. The correction loop has to be measured in sprints, not quarters.</w:t>
      </w:r>
    </w:p>
    <w:p>
      <w:pPr>
        <w:spacing w:after="80"/>
      </w:pPr>
      <w:r>
        <w:rPr>
          <w:b/>
          <w:i w:val="0"/>
          <w:sz w:val="21"/>
        </w:rPr>
        <w:t>How we approach building it.</w:t>
      </w:r>
    </w:p>
    <w:p>
      <w:pPr>
        <w:pStyle w:val="ListBullet"/>
        <w:spacing w:after="40"/>
      </w:pPr>
      <w:r>
        <w:rPr>
          <w:sz w:val="21"/>
        </w:rPr>
        <w:t>Every CSR correction (re-classification, edited field, rejected reply, manual override) is captured with a before-and-after diff against the original AI output.</w:t>
      </w:r>
    </w:p>
    <w:p>
      <w:pPr>
        <w:pStyle w:val="ListBullet"/>
        <w:spacing w:after="40"/>
      </w:pPr>
      <w:r>
        <w:rPr>
          <w:sz w:val="21"/>
        </w:rPr>
        <w:t>A weekly batch surfaces the most common corrections as proposed updates to the knowledge base. Keysight rule owners review the proposals and decide whether to accept each one.</w:t>
      </w:r>
    </w:p>
    <w:p>
      <w:pPr>
        <w:pStyle w:val="ListBullet"/>
        <w:spacing w:after="40"/>
      </w:pPr>
      <w:r>
        <w:rPr>
          <w:sz w:val="21"/>
        </w:rPr>
        <w:t>An optional comparison mode runs a candidate rule update in parallel for A/B testing before promotion. The candidate output is logged but never acted on until Keysight promotes it.</w:t>
      </w:r>
    </w:p>
    <w:p>
      <w:pPr>
        <w:pStyle w:val="ListBullet"/>
        <w:spacing w:after="40"/>
      </w:pPr>
      <w:r>
        <w:rPr>
          <w:sz w:val="21"/>
        </w:rPr>
        <w:t>Drift detection ties the loop together. Material shifts in classification mix, confidence distribution, or human-in-the-loop rate are flagged within the rolling baseline window.</w:t>
      </w:r>
    </w:p>
    <w:p>
      <w:pPr>
        <w:pStyle w:val="ListBullet"/>
        <w:spacing w:after="40"/>
      </w:pPr>
      <w:r>
        <w:rPr>
          <w:sz w:val="21"/>
        </w:rPr>
        <w:t>Operator-tunable knowledge bases mean routine rule updates take minutes, not a release cycle.</w:t>
      </w:r>
    </w:p>
    <w:p>
      <w:pPr>
        <w:spacing w:after="80"/>
      </w:pPr>
      <w:r>
        <w:rPr>
          <w:b/>
          <w:i w:val="0"/>
          <w:sz w:val="21"/>
        </w:rPr>
        <w:t>How we measure quality.</w:t>
      </w:r>
    </w:p>
    <w:p>
      <w:pPr>
        <w:pStyle w:val="ListBullet"/>
        <w:spacing w:after="40"/>
      </w:pPr>
      <w:r>
        <w:rPr>
          <w:sz w:val="21"/>
        </w:rPr>
        <w:t>Correction recurrence rate: the percentage of CSR corrections that repeat in the next two weeks. A high recurrence indicates the rule book needs an update that has not yet been made.</w:t>
      </w:r>
    </w:p>
    <w:p>
      <w:pPr>
        <w:pStyle w:val="ListBullet"/>
        <w:spacing w:after="40"/>
      </w:pPr>
      <w:r>
        <w:rPr>
          <w:sz w:val="21"/>
        </w:rPr>
        <w:t>Time-to-rule-fix: from CSR correction to rule-book update accepted by a Keysight rule owner. Target is one sprint cycle.</w:t>
      </w:r>
    </w:p>
    <w:p>
      <w:pPr>
        <w:pStyle w:val="ListBullet"/>
        <w:spacing w:after="40"/>
      </w:pPr>
      <w:r>
        <w:rPr>
          <w:sz w:val="21"/>
        </w:rPr>
        <w:t>Drift-to-detect time: from a material distribution shift to alert raised. Target is within the rolling baseline window of seven days.</w:t>
      </w:r>
    </w:p>
    <w:p>
      <w:pPr>
        <w:spacing w:after="80"/>
      </w:pPr>
      <w:r>
        <w:rPr>
          <w:b/>
          <w:i w:val="0"/>
          <w:sz w:val="21"/>
        </w:rPr>
        <w:t>What gives us confidence we can deliver this.</w:t>
      </w:r>
    </w:p>
    <w:p>
      <w:pPr>
        <w:spacing w:after="80"/>
      </w:pPr>
      <w:r>
        <w:rPr>
          <w:b w:val="0"/>
          <w:i w:val="0"/>
          <w:sz w:val="21"/>
        </w:rPr>
        <w:t>The feedback-to-rule-update loop is wired into the ZBrain platform's Knowledge Base and Monitor modules. The prior POC used the same pattern at smaller scope; the MVP extends it across the full seven-use-case set with the drift detector and the optional comparison-mode pass layered on. The full lifecycle is described in Implementation Approach 4.6 and 4.7.</w:t>
      </w:r>
    </w:p>
    <w:p>
      <w:pPr>
        <w:pStyle w:val="Heading2"/>
        <w:spacing w:before="160" w:after="80"/>
      </w:pPr>
      <w:r>
        <w:rPr>
          <w:color w:val="131426"/>
        </w:rPr>
        <w:t>5.6 Retrieval-Augmented Generation (RAG)</w:t>
      </w:r>
    </w:p>
    <w:p>
      <w:pPr>
        <w:spacing w:after="80"/>
      </w:pPr>
      <w:r>
        <w:rPr>
          <w:b/>
          <w:i w:val="0"/>
          <w:sz w:val="21"/>
        </w:rPr>
        <w:t>What needs to be true.</w:t>
      </w:r>
    </w:p>
    <w:p>
      <w:pPr>
        <w:spacing w:after="80"/>
      </w:pPr>
      <w:r>
        <w:rPr>
          <w:b w:val="0"/>
          <w:i w:val="0"/>
          <w:sz w:val="21"/>
        </w:rPr>
        <w:t>Q&amp;A item 53 confirms that all three RAG types are required: structured database grounding, knowledge-graph traversal, and unstructured document search. The Knowledge Base module inside ZBrain is the single surface that supports all three retrieval patterns for this solution; each agent declares which retrieval types it needs and the platform binds them automatically. Keysight's rule owners author and curate the KB directly; no custom retrieval code is written per agent.</w:t>
      </w:r>
    </w:p>
    <w:tbl>
      <w:tblPr>
        <w:tblStyle w:val="LightGrid-Accent1"/>
        <w:tblW w:type="auto" w:w="0"/>
        <w:tblLook w:firstColumn="1" w:firstRow="1" w:lastColumn="0" w:lastRow="0" w:noHBand="0" w:noVBand="1" w:val="04A0"/>
      </w:tblPr>
      <w:tblGrid>
        <w:gridCol w:w="3289"/>
        <w:gridCol w:w="3289"/>
        <w:gridCol w:w="3289"/>
      </w:tblGrid>
      <w:tr>
        <w:tc>
          <w:tcPr>
            <w:tcW w:type="dxa" w:w="3289"/>
            <w:shd w:val="clear" w:color="auto" w:fill="1A55F9"/>
          </w:tcPr>
          <w:p>
            <w:r>
              <w:rPr>
                <w:b/>
                <w:color w:val="FFFFFF"/>
                <w:sz w:val="20"/>
              </w:rPr>
              <w:t>RAG type</w:t>
            </w:r>
          </w:p>
        </w:tc>
        <w:tc>
          <w:tcPr>
            <w:tcW w:type="dxa" w:w="3289"/>
            <w:shd w:val="clear" w:color="auto" w:fill="1A55F9"/>
          </w:tcPr>
          <w:p>
            <w:r>
              <w:rPr>
                <w:b/>
                <w:color w:val="FFFFFF"/>
                <w:sz w:val="20"/>
              </w:rPr>
              <w:t>How this solution uses it</w:t>
            </w:r>
          </w:p>
        </w:tc>
        <w:tc>
          <w:tcPr>
            <w:tcW w:type="dxa" w:w="3289"/>
            <w:shd w:val="clear" w:color="auto" w:fill="1A55F9"/>
          </w:tcPr>
          <w:p>
            <w:r>
              <w:rPr>
                <w:b/>
                <w:color w:val="FFFFFF"/>
                <w:sz w:val="20"/>
              </w:rPr>
              <w:t>Where it is served from</w:t>
            </w:r>
          </w:p>
        </w:tc>
      </w:tr>
      <w:tr>
        <w:tc>
          <w:tcPr>
            <w:tcW w:type="dxa" w:w="3289"/>
            <w:vAlign w:val="top"/>
          </w:tcPr>
          <w:p>
            <w:r>
              <w:rPr>
                <w:sz w:val="19"/>
              </w:rPr>
              <w:t>Structured database grounding</w:t>
            </w:r>
          </w:p>
        </w:tc>
        <w:tc>
          <w:tcPr>
            <w:tcW w:type="dxa" w:w="3289"/>
            <w:vAlign w:val="top"/>
          </w:tcPr>
          <w:p>
            <w:r>
              <w:rPr>
                <w:sz w:val="19"/>
              </w:rPr>
              <w:t>Entity resolution into Salesforce: customer, contact, account, quote, existing CCC, order. PO line items reconciled against the matched quote. Asset and Serial validation against CMD records. Order status retrieval for WO Status and Inquiry use cases.</w:t>
            </w:r>
          </w:p>
        </w:tc>
        <w:tc>
          <w:tcPr>
            <w:tcW w:type="dxa" w:w="3289"/>
            <w:vAlign w:val="top"/>
          </w:tcPr>
          <w:p>
            <w:r>
              <w:rPr>
                <w:sz w:val="19"/>
              </w:rPr>
              <w:t>Served by the ZBrain Knowledge Base module as a structured-grounding retriever bound to live Salesforce APIs (and to the Jitterbit path for Oracle EBS data per Q&amp;A item 56), with a read-through cache. Rule owners edit the bound field mappings inside the KB.</w:t>
            </w:r>
          </w:p>
        </w:tc>
      </w:tr>
      <w:tr>
        <w:tc>
          <w:tcPr>
            <w:tcW w:type="dxa" w:w="3289"/>
            <w:vAlign w:val="top"/>
          </w:tcPr>
          <w:p>
            <w:r>
              <w:rPr>
                <w:sz w:val="19"/>
              </w:rPr>
              <w:t>Knowledge-graph traversal</w:t>
            </w:r>
          </w:p>
        </w:tc>
        <w:tc>
          <w:tcPr>
            <w:tcW w:type="dxa" w:w="3289"/>
            <w:vAlign w:val="top"/>
          </w:tcPr>
          <w:p>
            <w:r>
              <w:rPr>
                <w:sz w:val="19"/>
              </w:rPr>
              <w:t>Walking the relationships Keysight rule owners encode in the Knowledge Base: distributor list to magic-SKU mapping, Bill-to versus Ship-to account graph for routing, region overlays linked to mailbox metadata, intent ontology with parent and child relationships. Used in routing decisions and in multi-hop entity resolution.</w:t>
            </w:r>
          </w:p>
        </w:tc>
        <w:tc>
          <w:tcPr>
            <w:tcW w:type="dxa" w:w="3289"/>
            <w:vAlign w:val="top"/>
          </w:tcPr>
          <w:p>
            <w:r>
              <w:rPr>
                <w:sz w:val="19"/>
              </w:rPr>
              <w:t>Served by the ZBrain Knowledge Base module as a graph retriever. The graph itself is authored and curated by Keysight rule owners; promotion of changes flows through the Governance and Analytics screen described in 4.7.</w:t>
            </w:r>
          </w:p>
        </w:tc>
      </w:tr>
      <w:tr>
        <w:tc>
          <w:tcPr>
            <w:tcW w:type="dxa" w:w="3289"/>
            <w:vAlign w:val="top"/>
          </w:tcPr>
          <w:p>
            <w:r>
              <w:rPr>
                <w:sz w:val="19"/>
              </w:rPr>
              <w:t>Unstructured document search</w:t>
            </w:r>
          </w:p>
        </w:tc>
        <w:tc>
          <w:tcPr>
            <w:tcW w:type="dxa" w:w="3289"/>
            <w:vAlign w:val="top"/>
          </w:tcPr>
          <w:p>
            <w:r>
              <w:rPr>
                <w:sz w:val="19"/>
              </w:rPr>
              <w:t>Per-language glossaries, intent-definition exemplars, historical reply templates, and the operational rule book itself. Retrieval grounds the classifier and the reply drafter against Keysight-authored content rather than the model's pre-training corpus.</w:t>
            </w:r>
          </w:p>
        </w:tc>
        <w:tc>
          <w:tcPr>
            <w:tcW w:type="dxa" w:w="3289"/>
            <w:vAlign w:val="top"/>
          </w:tcPr>
          <w:p>
            <w:r>
              <w:rPr>
                <w:sz w:val="19"/>
              </w:rPr>
              <w:t>Served by the ZBrain Knowledge Base module as a document retriever, with per-language indexing and per-region overlays. Keysight's existing translation KB is imported at deployment per Q&amp;A item 26.</w:t>
            </w:r>
          </w:p>
        </w:tc>
      </w:tr>
    </w:tbl>
    <w:p>
      <w:pPr>
        <w:spacing w:after="80"/>
      </w:pPr>
      <w:r>
        <w:rPr>
          <w:b/>
          <w:i w:val="0"/>
          <w:sz w:val="21"/>
        </w:rPr>
        <w:t>How we approach building it.</w:t>
      </w:r>
    </w:p>
    <w:p>
      <w:pPr>
        <w:pStyle w:val="ListBullet"/>
        <w:spacing w:after="40"/>
      </w:pPr>
      <w:r>
        <w:rPr>
          <w:sz w:val="21"/>
        </w:rPr>
        <w:t>All three retrieval surfaces are first-class features of the ZBrain Knowledge Base module. The solution does not stand up a parallel retrieval stack; it configures the KB module against Keysight's data and rule book.</w:t>
      </w:r>
    </w:p>
    <w:p>
      <w:pPr>
        <w:pStyle w:val="ListBullet"/>
        <w:spacing w:after="40"/>
      </w:pPr>
      <w:r>
        <w:rPr>
          <w:sz w:val="21"/>
        </w:rPr>
        <w:t>Each agent declares the RAG types it needs in its Solution Builder definition. The platform binds the agent to the configured KB retrievers automatically.</w:t>
      </w:r>
    </w:p>
    <w:p>
      <w:pPr>
        <w:pStyle w:val="ListBullet"/>
        <w:spacing w:after="40"/>
      </w:pPr>
      <w:r>
        <w:rPr>
          <w:sz w:val="21"/>
        </w:rPr>
        <w:t>Per Q&amp;A item 26, Keysight's existing translation knowledge base is reusable for the language-translation use cases. It is imported into the ZBrain KB module at deployment and the unstructured-document RAG path is bound to it directly.</w:t>
      </w:r>
    </w:p>
    <w:p>
      <w:pPr>
        <w:pStyle w:val="ListBullet"/>
        <w:spacing w:after="40"/>
      </w:pPr>
      <w:r>
        <w:rPr>
          <w:sz w:val="21"/>
        </w:rPr>
        <w:t>All retrievals are cached at the per-email reference, so an audit pull replays the exact retrieval context that informed the decision. This is critical for the audit trail described in Section 10.5.</w:t>
      </w:r>
    </w:p>
    <w:p>
      <w:pPr>
        <w:pStyle w:val="ListBullet"/>
        <w:spacing w:after="40"/>
      </w:pPr>
      <w:r>
        <w:rPr>
          <w:sz w:val="21"/>
        </w:rPr>
        <w:t>Retrieval quality is monitored as a first-class metric in the Monitor module: per-query relevance, retrieval-grounded answer rate, and grounded-versus-hallucinated output rate.</w:t>
      </w:r>
    </w:p>
    <w:p>
      <w:pPr>
        <w:pStyle w:val="Heading2"/>
        <w:spacing w:before="160" w:after="80"/>
      </w:pPr>
      <w:r>
        <w:rPr>
          <w:color w:val="131426"/>
        </w:rPr>
        <w:t>5.7 Agent-level RLHF (feedback to learning)</w:t>
      </w:r>
    </w:p>
    <w:p>
      <w:pPr>
        <w:spacing w:after="80"/>
      </w:pPr>
      <w:r>
        <w:rPr>
          <w:b/>
          <w:i w:val="0"/>
          <w:sz w:val="21"/>
        </w:rPr>
        <w:t>What needs to be true.</w:t>
      </w:r>
    </w:p>
    <w:p>
      <w:pPr>
        <w:spacing w:after="80"/>
      </w:pPr>
      <w:r>
        <w:rPr>
          <w:b w:val="0"/>
          <w:i w:val="0"/>
          <w:sz w:val="21"/>
        </w:rPr>
        <w:t>Per Q&amp;A item 50, Keysight's primary interest is agent-level feedback: correcting a misclassification or a bad extraction so the agent improves on similar emails. This is the path that produces the largest day-to-day quality lift, and it is the path this solution invests in. Improvement happens at the agent and Knowledge Base layer, where Keysight's rule owners can see, review, and promote every change.</w:t>
      </w:r>
    </w:p>
    <w:p>
      <w:pPr>
        <w:spacing w:after="80"/>
      </w:pPr>
      <w:r>
        <w:rPr>
          <w:b/>
          <w:i w:val="0"/>
          <w:sz w:val="21"/>
        </w:rPr>
        <w:t>How we approach building it.</w:t>
      </w:r>
    </w:p>
    <w:p>
      <w:pPr>
        <w:pStyle w:val="ListBullet"/>
        <w:spacing w:after="40"/>
      </w:pPr>
      <w:r>
        <w:rPr>
          <w:sz w:val="21"/>
        </w:rPr>
        <w:t>Every CSR correction is captured into the Learning Store described in 4.6 Loop A. The diff carries the original AI output, the CSR output, the source email and attachments, and the four-gate scores at decision time.</w:t>
      </w:r>
    </w:p>
    <w:p>
      <w:pPr>
        <w:pStyle w:val="ListBullet"/>
        <w:spacing w:after="40"/>
      </w:pPr>
      <w:r>
        <w:rPr>
          <w:sz w:val="21"/>
        </w:rPr>
        <w:t>The weekly Opportunity batch (4.6 Loop B) clusters corrections into proposed Knowledge Base updates: a new sender pattern, a new glossary entry, a routing exception, an intent-definition tweak, a confidence-threshold adjustment, a new exemplar attached to an intent.</w:t>
      </w:r>
    </w:p>
    <w:p>
      <w:pPr>
        <w:pStyle w:val="ListBullet"/>
        <w:spacing w:after="40"/>
      </w:pPr>
      <w:r>
        <w:rPr>
          <w:sz w:val="21"/>
        </w:rPr>
        <w:t>Each proposed update is evaluated through the A/B comparison-mode path described in 4.6 Loop C (shadow run, defined horizon, pre-set success criteria, sub-segment regression checks) before any rule owner promotes it to production.</w:t>
      </w:r>
    </w:p>
    <w:p>
      <w:pPr>
        <w:pStyle w:val="ListBullet"/>
        <w:spacing w:after="40"/>
      </w:pPr>
      <w:r>
        <w:rPr>
          <w:sz w:val="21"/>
        </w:rPr>
        <w:t>Promoted updates take effect on the next pipeline run. The agent re-reads the updated Knowledge Base on every classification, so a corrected rule starts shaping decisions immediately.</w:t>
      </w:r>
    </w:p>
    <w:p>
      <w:pPr>
        <w:pStyle w:val="ListBullet"/>
        <w:spacing w:after="40"/>
      </w:pPr>
      <w:r>
        <w:rPr>
          <w:sz w:val="21"/>
        </w:rPr>
        <w:t>All of this is reversible. Every promoted update carries one-click rollback through the Governance and Analytics screen.</w:t>
      </w:r>
    </w:p>
    <w:p>
      <w:pPr>
        <w:spacing w:after="80"/>
      </w:pPr>
      <w:r>
        <w:rPr>
          <w:b/>
          <w:i w:val="0"/>
          <w:sz w:val="21"/>
        </w:rPr>
        <w:t>How we measure quality.</w:t>
      </w:r>
    </w:p>
    <w:p>
      <w:pPr>
        <w:pStyle w:val="ListBullet"/>
        <w:spacing w:after="40"/>
      </w:pPr>
      <w:r>
        <w:rPr>
          <w:sz w:val="21"/>
        </w:rPr>
        <w:t>Correction recurrence rate: the percentage of CSR corrections that repeat within two weeks. Target is monotonic decrease over the rolling baseline.</w:t>
      </w:r>
    </w:p>
    <w:p>
      <w:pPr>
        <w:pStyle w:val="ListBullet"/>
        <w:spacing w:after="40"/>
      </w:pPr>
      <w:r>
        <w:rPr>
          <w:sz w:val="21"/>
        </w:rPr>
        <w:t>Time-to-rule-fix: from CSR correction to rule-book or KB update accepted by a Keysight rule owner. Target is within the next weekly governance cycle.</w:t>
      </w:r>
    </w:p>
    <w:p>
      <w:pPr>
        <w:pStyle w:val="ListBullet"/>
        <w:spacing w:after="40"/>
      </w:pPr>
      <w:r>
        <w:rPr>
          <w:sz w:val="21"/>
        </w:rPr>
        <w:t>Sub-segment regression check: every promoted update is verified against the held-out test set with no regression in any tracked per-region, per-language, or per-intent slice.</w:t>
      </w:r>
    </w:p>
    <w:p>
      <w:pPr>
        <w:pStyle w:val="Heading2"/>
        <w:spacing w:before="160" w:after="80"/>
      </w:pPr>
      <w:r>
        <w:rPr>
          <w:color w:val="131426"/>
        </w:rPr>
        <w:t>5.8 Human-in-the-loop policy</w:t>
      </w:r>
    </w:p>
    <w:p>
      <w:pPr>
        <w:spacing w:after="80"/>
      </w:pPr>
      <w:r>
        <w:rPr>
          <w:b/>
          <w:i w:val="0"/>
          <w:sz w:val="21"/>
        </w:rPr>
        <w:t>What needs to be true.</w:t>
      </w:r>
    </w:p>
    <w:p>
      <w:pPr>
        <w:spacing w:after="80"/>
      </w:pPr>
      <w:r>
        <w:rPr>
          <w:b w:val="0"/>
          <w:i w:val="0"/>
          <w:sz w:val="21"/>
        </w:rPr>
        <w:t>Per Q&amp;A item 22, 100 percent automation is not the goal. The initial deployment posture is AI drafts, CSR reviews, CSR sends. As confidence in each gate is validated through production data, autonomy is increased per use case. Multi-intent emails that exceed one gate's confidence may be partially automated and partially routed to human review.</w:t>
      </w:r>
    </w:p>
    <w:p>
      <w:pPr>
        <w:spacing w:after="80"/>
      </w:pPr>
      <w:r>
        <w:rPr>
          <w:b/>
          <w:i w:val="0"/>
          <w:sz w:val="21"/>
        </w:rPr>
        <w:t>How we approach building it.</w:t>
      </w:r>
    </w:p>
    <w:p>
      <w:pPr>
        <w:pStyle w:val="ListBullet"/>
        <w:spacing w:after="40"/>
      </w:pPr>
      <w:r>
        <w:rPr>
          <w:sz w:val="21"/>
        </w:rPr>
        <w:t>At cutover, every use case ships at the most conservative tier: AI drafts, CSR reviews, CSR sends. The HITL portal carries the four-gate breakdown so the CSR can see exactly why the AI proposed what it did and where to push back.</w:t>
      </w:r>
    </w:p>
    <w:p>
      <w:pPr>
        <w:pStyle w:val="ListBullet"/>
        <w:spacing w:after="40"/>
      </w:pPr>
      <w:r>
        <w:rPr>
          <w:sz w:val="21"/>
        </w:rPr>
        <w:t>Autonomy expansion is a deliberate Keysight decision, not an automatic ramp. Each use case has its own confidence-gate calibration history; once the rolling accuracy on a tier crosses the threshold Keysight sets and the rule owners sign off, the autonomy floor for that use case shifts up. The shift is logged and reversible.</w:t>
      </w:r>
    </w:p>
    <w:p>
      <w:pPr>
        <w:pStyle w:val="ListBullet"/>
        <w:spacing w:after="40"/>
      </w:pPr>
      <w:r>
        <w:rPr>
          <w:sz w:val="21"/>
        </w:rPr>
        <w:t>Multi-intent emails are decomposed at the Intake stage. Each detected intent carries its own four-gate score. The pipeline acts only where all four gates clear the autonomy threshold for that intent; the rest of the email is routed to CSR review with the auto-acted portion captured in the case context.</w:t>
      </w:r>
    </w:p>
    <w:p>
      <w:pPr>
        <w:pStyle w:val="ListBullet"/>
        <w:spacing w:after="40"/>
      </w:pPr>
      <w:r>
        <w:rPr>
          <w:sz w:val="21"/>
        </w:rPr>
        <w:t>CSR override is always available. A CSR can force any case to full review, force a hold, or force a publish; every override is captured as Loop A feedback and surfaces in the Opportunity board.</w:t>
      </w:r>
    </w:p>
    <w:p>
      <w:pPr>
        <w:pStyle w:val="ListBullet"/>
        <w:spacing w:after="40"/>
      </w:pPr>
      <w:r>
        <w:rPr>
          <w:sz w:val="21"/>
        </w:rPr>
        <w:t>Service level for the HITL queue is per-intent per Q&amp;A item 18 (different SLAs apply to different email types; new-customer creation has its own SLA). Per-intent SLA targets are agreed at Functional Design once Keysight publishes the addendum.</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