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6 of 13</w:t>
      </w:r>
    </w:p>
    <w:p>
      <w:pPr>
        <w:spacing w:after="40"/>
      </w:pPr>
      <w:r>
        <w:rPr>
          <w:b/>
          <w:color w:val="1A55F9"/>
          <w:sz w:val="44"/>
        </w:rPr>
        <w:t>Delivery Plan</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Eight weeks to a working production pilot, structured as four two-week sprints. Each sprint ends with a working increment and a written acceptance gate signed off by the named Keysight rule owners. The plan compresses the standard delivery cycle because the expensive upstream work (requirement gathering, architecture choice) has already been done by Keysight in the RFP and the prior POC engagement.</w:t>
      </w:r>
    </w:p>
    <w:p>
      <w:pPr>
        <w:pStyle w:val="Heading2"/>
        <w:spacing w:before="160" w:after="80"/>
      </w:pPr>
      <w:r>
        <w:rPr>
          <w:color w:val="131426"/>
        </w:rPr>
        <w:t>6.1 Milestones</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Milestone</w:t>
            </w:r>
          </w:p>
        </w:tc>
        <w:tc>
          <w:tcPr>
            <w:tcW w:type="dxa" w:w="3289"/>
            <w:shd w:val="clear" w:color="auto" w:fill="1A55F9"/>
          </w:tcPr>
          <w:p>
            <w:r>
              <w:rPr>
                <w:b/>
                <w:color w:val="FFFFFF"/>
                <w:sz w:val="20"/>
              </w:rPr>
              <w:t>Week</w:t>
            </w:r>
          </w:p>
        </w:tc>
        <w:tc>
          <w:tcPr>
            <w:tcW w:type="dxa" w:w="3289"/>
            <w:shd w:val="clear" w:color="auto" w:fill="1A55F9"/>
          </w:tcPr>
          <w:p>
            <w:r>
              <w:rPr>
                <w:b/>
                <w:color w:val="FFFFFF"/>
                <w:sz w:val="20"/>
              </w:rPr>
              <w:t>Acceptance criterion</w:t>
            </w:r>
          </w:p>
        </w:tc>
      </w:tr>
      <w:tr>
        <w:tc>
          <w:tcPr>
            <w:tcW w:type="dxa" w:w="3289"/>
            <w:vAlign w:val="top"/>
          </w:tcPr>
          <w:p>
            <w:r>
              <w:rPr>
                <w:sz w:val="19"/>
              </w:rPr>
              <w:t>Sprint 1 sign-off: Functional design and KB seeding</w:t>
            </w:r>
          </w:p>
        </w:tc>
        <w:tc>
          <w:tcPr>
            <w:tcW w:type="dxa" w:w="3289"/>
            <w:vAlign w:val="top"/>
          </w:tcPr>
          <w:p>
            <w:r>
              <w:rPr>
                <w:sz w:val="19"/>
              </w:rPr>
              <w:t>End of Week 2</w:t>
            </w:r>
          </w:p>
        </w:tc>
        <w:tc>
          <w:tcPr>
            <w:tcW w:type="dxa" w:w="3289"/>
            <w:vAlign w:val="top"/>
          </w:tcPr>
          <w:p>
            <w:r>
              <w:rPr>
                <w:sz w:val="19"/>
              </w:rPr>
              <w:t>Intent definitions, Outlook pre-screen rules, routing rules, and the operational rule book seeded and signed off by Keysight rule owners. Initial classifier accuracy reported against the regression corpus.</w:t>
            </w:r>
          </w:p>
        </w:tc>
      </w:tr>
      <w:tr>
        <w:tc>
          <w:tcPr>
            <w:tcW w:type="dxa" w:w="3289"/>
            <w:vAlign w:val="top"/>
          </w:tcPr>
          <w:p>
            <w:r>
              <w:rPr>
                <w:sz w:val="19"/>
              </w:rPr>
              <w:t>Sprint 2 sign-off: Use Cases 1 and 3 end to end</w:t>
            </w:r>
          </w:p>
        </w:tc>
        <w:tc>
          <w:tcPr>
            <w:tcW w:type="dxa" w:w="3289"/>
            <w:vAlign w:val="top"/>
          </w:tcPr>
          <w:p>
            <w:r>
              <w:rPr>
                <w:sz w:val="19"/>
              </w:rPr>
              <w:t>End of Week 4</w:t>
            </w:r>
          </w:p>
        </w:tc>
        <w:tc>
          <w:tcPr>
            <w:tcW w:type="dxa" w:w="3289"/>
            <w:vAlign w:val="top"/>
          </w:tcPr>
          <w:p>
            <w:r>
              <w:rPr>
                <w:sz w:val="19"/>
              </w:rPr>
              <w:t>Trade Order Entry and SOM WO Automation working end to end against the Salesforce sandbox. Confidence model implements all four gates. HITL portal usable by a CSR for case review.</w:t>
            </w:r>
          </w:p>
        </w:tc>
      </w:tr>
      <w:tr>
        <w:tc>
          <w:tcPr>
            <w:tcW w:type="dxa" w:w="3289"/>
            <w:vAlign w:val="top"/>
          </w:tcPr>
          <w:p>
            <w:r>
              <w:rPr>
                <w:sz w:val="19"/>
              </w:rPr>
              <w:t>Sprint 3 sign-off: Remaining five use cases</w:t>
            </w:r>
          </w:p>
        </w:tc>
        <w:tc>
          <w:tcPr>
            <w:tcW w:type="dxa" w:w="3289"/>
            <w:vAlign w:val="top"/>
          </w:tcPr>
          <w:p>
            <w:r>
              <w:rPr>
                <w:sz w:val="19"/>
              </w:rPr>
              <w:t>End of Week 6</w:t>
            </w:r>
          </w:p>
        </w:tc>
        <w:tc>
          <w:tcPr>
            <w:tcW w:type="dxa" w:w="3289"/>
            <w:vAlign w:val="top"/>
          </w:tcPr>
          <w:p>
            <w:r>
              <w:rPr>
                <w:sz w:val="19"/>
              </w:rPr>
              <w:t>Trade Sales Change Order, SOM WO Update, WO Status and Inquiry, Service Contracts, and SSD Change all working end to end. Existing-CCC matrix verified across all ten statuses. Customer reply drafting in the sixteen supported languages.</w:t>
            </w:r>
          </w:p>
        </w:tc>
      </w:tr>
      <w:tr>
        <w:tc>
          <w:tcPr>
            <w:tcW w:type="dxa" w:w="3289"/>
            <w:vAlign w:val="top"/>
          </w:tcPr>
          <w:p>
            <w:r>
              <w:rPr>
                <w:sz w:val="19"/>
              </w:rPr>
              <w:t>Sprint 4 sign-off: UAT pass and first cutover</w:t>
            </w:r>
          </w:p>
        </w:tc>
        <w:tc>
          <w:tcPr>
            <w:tcW w:type="dxa" w:w="3289"/>
            <w:vAlign w:val="top"/>
          </w:tcPr>
          <w:p>
            <w:r>
              <w:rPr>
                <w:sz w:val="19"/>
              </w:rPr>
              <w:t>End of Week 8</w:t>
            </w:r>
          </w:p>
        </w:tc>
        <w:tc>
          <w:tcPr>
            <w:tcW w:type="dxa" w:w="3289"/>
            <w:vAlign w:val="top"/>
          </w:tcPr>
          <w:p>
            <w:r>
              <w:rPr>
                <w:sz w:val="19"/>
              </w:rPr>
              <w:t>Stress test at 50x the 2,000-per-day Keysight baseline (100,000 emails per day sustained for 24 hours, with elastic worker scaling). UAT cycle complete. Drift detector and feedback loop live. First mailbox cutover into production with rollback plan tested. Tiered support hand-off complete.</w:t>
            </w:r>
          </w:p>
        </w:tc>
      </w:tr>
    </w:tbl>
    <w:p>
      <w:pPr>
        <w:pStyle w:val="Heading2"/>
        <w:spacing w:before="160" w:after="80"/>
      </w:pPr>
      <w:r>
        <w:rPr>
          <w:color w:val="131426"/>
        </w:rPr>
        <w:t>6.2 Acceptance criteria (cumulative)</w:t>
      </w:r>
    </w:p>
    <w:p>
      <w:pPr>
        <w:pStyle w:val="ListBullet"/>
        <w:spacing w:after="40"/>
      </w:pPr>
      <w:r>
        <w:rPr>
          <w:sz w:val="21"/>
        </w:rPr>
        <w:t>Classification accuracy at or above the 90 percent threshold the RFP names, measured against Keysight's regression corpus at every sprint cut.</w:t>
      </w:r>
    </w:p>
    <w:p>
      <w:pPr>
        <w:pStyle w:val="ListBullet"/>
        <w:spacing w:after="40"/>
      </w:pPr>
      <w:r>
        <w:rPr>
          <w:sz w:val="21"/>
        </w:rPr>
        <w:t>Automation rate (the share of cases handled at high confidence plus the share handled with one-click CSR approval) measured on the agreed UAT inbox, against the target agreed with Keysight at Functional Design and aligned to the RFP's 60 to 70 percent manual-effort reduction goal.</w:t>
      </w:r>
    </w:p>
    <w:p>
      <w:pPr>
        <w:pStyle w:val="ListBullet"/>
        <w:spacing w:after="40"/>
      </w:pPr>
      <w:r>
        <w:rPr>
          <w:sz w:val="21"/>
        </w:rPr>
        <w:t>Classification latency below 2 seconds at the 95th percentile; full-pipeline latency below 30 seconds at the 95th percentile.</w:t>
      </w:r>
    </w:p>
    <w:p>
      <w:pPr>
        <w:pStyle w:val="ListBullet"/>
        <w:spacing w:after="40"/>
      </w:pPr>
      <w:r>
        <w:rPr>
          <w:sz w:val="21"/>
        </w:rPr>
        <w:t>Sustained throughput of 50x Keysight's stated 2,000-per-day baseline (100,000 emails per day sustained for 24 hours under stress test), elastic-scaling on queue depth. Sizing target absorbs Q-end and year-end bursts (Q&amp;A item 59) without back-pressure into the mailbox layer.</w:t>
      </w:r>
    </w:p>
    <w:p>
      <w:pPr>
        <w:pStyle w:val="ListBullet"/>
        <w:spacing w:after="40"/>
      </w:pPr>
      <w:r>
        <w:rPr>
          <w:sz w:val="21"/>
        </w:rPr>
        <w:t>Human-in-the-loop queue service level: turnaround from low-confidence surface to operator resolve, against the SLA agreed with Keysight at Functional Design.</w:t>
      </w:r>
    </w:p>
    <w:p>
      <w:pPr>
        <w:pStyle w:val="ListBullet"/>
        <w:spacing w:after="40"/>
      </w:pPr>
      <w:r>
        <w:rPr>
          <w:sz w:val="21"/>
        </w:rPr>
        <w:t>Every email produces a complete audit trail (reference identifier, every reading, every extracted field, every decision gate, every external write, every customer-facing draft).</w:t>
      </w:r>
    </w:p>
    <w:p>
      <w:pPr>
        <w:pStyle w:val="ListBullet"/>
        <w:spacing w:after="40"/>
      </w:pPr>
      <w:r>
        <w:rPr>
          <w:sz w:val="21"/>
        </w:rPr>
        <w:t>No customer-facing message leaves the system outside the tier ladder. Where a case is L4 (high confidence), the reply is published automatically; where it is L3 or L2, a CSR confirms before publish.</w:t>
      </w:r>
    </w:p>
    <w:p>
      <w:pPr>
        <w:pStyle w:val="ListBullet"/>
        <w:spacing w:after="40"/>
      </w:pPr>
      <w:r>
        <w:rPr>
          <w:sz w:val="21"/>
        </w:rPr>
        <w:t>All knowledge bases (intents, routing rules, operational rule book, translation glossaries) editable by Keysight rule owners without a developer release cycle, with version history and rollback.</w:t>
      </w:r>
    </w:p>
    <w:p>
      <w:pPr>
        <w:pStyle w:val="ListBullet"/>
        <w:spacing w:after="40"/>
      </w:pPr>
      <w:r>
        <w:rPr>
          <w:sz w:val="21"/>
        </w:rPr>
        <w:t>Enterprise governance hooks verified at the scope agreed with Keysight's governance team at Functional Design.</w:t>
      </w:r>
    </w:p>
    <w:p>
      <w:pPr>
        <w:pStyle w:val="Heading2"/>
        <w:spacing w:before="160" w:after="80"/>
      </w:pPr>
      <w:r>
        <w:rPr>
          <w:color w:val="131426"/>
        </w:rPr>
        <w:t>6.3 Governance and cadence</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Daily stand-up</w:t>
            </w:r>
          </w:p>
        </w:tc>
        <w:tc>
          <w:tcPr>
            <w:tcW w:type="dxa" w:w="4933"/>
            <w:vAlign w:val="top"/>
          </w:tcPr>
          <w:p>
            <w:r>
              <w:rPr>
                <w:sz w:val="20"/>
              </w:rPr>
              <w:t>Joint Keysight and Hackett team, 15 minutes, written summary into the shared channel.</w:t>
            </w:r>
          </w:p>
        </w:tc>
      </w:tr>
      <w:tr>
        <w:tc>
          <w:tcPr>
            <w:tcW w:type="dxa" w:w="4933"/>
            <w:vAlign w:val="top"/>
          </w:tcPr>
          <w:p>
            <w:r>
              <w:rPr>
                <w:sz w:val="20"/>
              </w:rPr>
              <w:t>Weekly demo</w:t>
            </w:r>
          </w:p>
        </w:tc>
        <w:tc>
          <w:tcPr>
            <w:tcW w:type="dxa" w:w="4933"/>
            <w:vAlign w:val="top"/>
          </w:tcPr>
          <w:p>
            <w:r>
              <w:rPr>
                <w:sz w:val="20"/>
              </w:rPr>
              <w:t>Live demo of the week's working increment to the broader Keysight stakeholder group. Open Q&amp;A.</w:t>
            </w:r>
          </w:p>
        </w:tc>
      </w:tr>
      <w:tr>
        <w:tc>
          <w:tcPr>
            <w:tcW w:type="dxa" w:w="4933"/>
            <w:vAlign w:val="top"/>
          </w:tcPr>
          <w:p>
            <w:r>
              <w:rPr>
                <w:sz w:val="20"/>
              </w:rPr>
              <w:t>Sprint review (bi-weekly)</w:t>
            </w:r>
          </w:p>
        </w:tc>
        <w:tc>
          <w:tcPr>
            <w:tcW w:type="dxa" w:w="4933"/>
            <w:vAlign w:val="top"/>
          </w:tcPr>
          <w:p>
            <w:r>
              <w:rPr>
                <w:sz w:val="20"/>
              </w:rPr>
              <w:t>Acceptance gate sign-off by the named Keysight rule owners. Retrospective on the sprint.</w:t>
            </w:r>
          </w:p>
        </w:tc>
      </w:tr>
      <w:tr>
        <w:tc>
          <w:tcPr>
            <w:tcW w:type="dxa" w:w="4933"/>
            <w:vAlign w:val="top"/>
          </w:tcPr>
          <w:p>
            <w:r>
              <w:rPr>
                <w:sz w:val="20"/>
              </w:rPr>
              <w:t>Monthly steering committee</w:t>
            </w:r>
          </w:p>
        </w:tc>
        <w:tc>
          <w:tcPr>
            <w:tcW w:type="dxa" w:w="4933"/>
            <w:vAlign w:val="top"/>
          </w:tcPr>
          <w:p>
            <w:r>
              <w:rPr>
                <w:sz w:val="20"/>
              </w:rPr>
              <w:t>Keysight executive sponsors plus Hackett senior management. Risks, dependencies, scope changes formally reviewed.</w:t>
            </w:r>
          </w:p>
        </w:tc>
      </w:tr>
      <w:tr>
        <w:tc>
          <w:tcPr>
            <w:tcW w:type="dxa" w:w="4933"/>
            <w:vAlign w:val="top"/>
          </w:tcPr>
          <w:p>
            <w:r>
              <w:rPr>
                <w:sz w:val="20"/>
              </w:rPr>
              <w:t>Backlog</w:t>
            </w:r>
          </w:p>
        </w:tc>
        <w:tc>
          <w:tcPr>
            <w:tcW w:type="dxa" w:w="4933"/>
            <w:vAlign w:val="top"/>
          </w:tcPr>
          <w:p>
            <w:r>
              <w:rPr>
                <w:sz w:val="20"/>
              </w:rPr>
              <w:t>Shared between both teams; visible at all times; every item has a named owner and a target sprint.</w:t>
            </w:r>
          </w:p>
        </w:tc>
      </w:tr>
      <w:tr>
        <w:tc>
          <w:tcPr>
            <w:tcW w:type="dxa" w:w="4933"/>
            <w:vAlign w:val="top"/>
          </w:tcPr>
          <w:p>
            <w:r>
              <w:rPr>
                <w:sz w:val="20"/>
              </w:rPr>
              <w:t>Change control</w:t>
            </w:r>
          </w:p>
        </w:tc>
        <w:tc>
          <w:tcPr>
            <w:tcW w:type="dxa" w:w="4933"/>
            <w:vAlign w:val="top"/>
          </w:tcPr>
          <w:p>
            <w:r>
              <w:rPr>
                <w:sz w:val="20"/>
              </w:rPr>
              <w:t>Any change to scope or acceptance criteria is logged, reviewed at the next sprint review, and signed off at the steering committee.</w:t>
            </w:r>
          </w:p>
        </w:tc>
      </w:tr>
    </w:tbl>
    <w:p>
      <w:pPr>
        <w:pStyle w:val="Heading2"/>
        <w:spacing w:before="160" w:after="80"/>
      </w:pPr>
      <w:r>
        <w:rPr>
          <w:color w:val="131426"/>
        </w:rPr>
        <w:t>6.4 Phase exit gates</w:t>
      </w:r>
    </w:p>
    <w:p>
      <w:pPr>
        <w:spacing w:after="80"/>
      </w:pPr>
      <w:r>
        <w:rPr>
          <w:b w:val="0"/>
          <w:i w:val="0"/>
          <w:sz w:val="21"/>
        </w:rPr>
        <w:t>Each sprint ends with an exit gate. The gate is a checklist. Items either pass or fail. No sprint closes with open Critical or High items unless the steering committee explicitly approves a carryover with a defined remediation date.</w:t>
      </w:r>
    </w:p>
    <w:p>
      <w:pPr>
        <w:pStyle w:val="ListBullet"/>
        <w:spacing w:after="40"/>
      </w:pPr>
      <w:r>
        <w:rPr>
          <w:sz w:val="21"/>
        </w:rPr>
        <w:t>Gate items have severity (Critical, High, Medium, Low) and an owner.</w:t>
      </w:r>
    </w:p>
    <w:p>
      <w:pPr>
        <w:pStyle w:val="ListBullet"/>
        <w:spacing w:after="40"/>
      </w:pPr>
      <w:r>
        <w:rPr>
          <w:sz w:val="21"/>
        </w:rPr>
        <w:t>Critical items must be Pass before the sprint closes.</w:t>
      </w:r>
    </w:p>
    <w:p>
      <w:pPr>
        <w:pStyle w:val="ListBullet"/>
        <w:spacing w:after="40"/>
      </w:pPr>
      <w:r>
        <w:rPr>
          <w:sz w:val="21"/>
        </w:rPr>
        <w:t>High items must be Pass or Mitigated (with a documented mitigation owned by a named person).</w:t>
      </w:r>
    </w:p>
    <w:p>
      <w:pPr>
        <w:pStyle w:val="ListBullet"/>
        <w:spacing w:after="40"/>
      </w:pPr>
      <w:r>
        <w:rPr>
          <w:sz w:val="21"/>
        </w:rPr>
        <w:t>Medium and Low items can carry over with steering-committee approval.</w:t>
      </w:r>
    </w:p>
    <w:p>
      <w:pPr>
        <w:pStyle w:val="ListBullet"/>
        <w:spacing w:after="40"/>
      </w:pPr>
      <w:r>
        <w:rPr>
          <w:sz w:val="21"/>
        </w:rPr>
        <w:t>The gate checklist is published in advance of every sprint so both teams know what is being measured.</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