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7 of 13</w:t>
      </w:r>
    </w:p>
    <w:p>
      <w:pPr>
        <w:spacing w:after="40"/>
      </w:pPr>
      <w:r>
        <w:rPr>
          <w:b/>
          <w:color w:val="1A55F9"/>
          <w:sz w:val="44"/>
        </w:rPr>
        <w:t>Team Composition</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A single accountable team for product and services delivery. Continuity is preserved with the engineers who carried out Keysight's earlier POC engagement, so context does not have to be rebuilt from scratch. Final contracting and named individuals are confirmed at MSA signature.</w:t>
      </w:r>
    </w:p>
    <w:p>
      <w:pPr>
        <w:pStyle w:val="Heading2"/>
        <w:spacing w:before="160" w:after="80"/>
      </w:pPr>
      <w:r>
        <w:rPr>
          <w:color w:val="131426"/>
        </w:rPr>
        <w:t>7.1 Delivery team during the ten-week engagement</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Role</w:t>
            </w:r>
          </w:p>
        </w:tc>
        <w:tc>
          <w:tcPr>
            <w:tcW w:type="dxa" w:w="3289"/>
            <w:shd w:val="clear" w:color="auto" w:fill="1A55F9"/>
          </w:tcPr>
          <w:p>
            <w:r>
              <w:rPr>
                <w:b/>
                <w:color w:val="FFFFFF"/>
                <w:sz w:val="20"/>
              </w:rPr>
              <w:t>Count</w:t>
            </w:r>
          </w:p>
        </w:tc>
        <w:tc>
          <w:tcPr>
            <w:tcW w:type="dxa" w:w="3289"/>
            <w:shd w:val="clear" w:color="auto" w:fill="1A55F9"/>
          </w:tcPr>
          <w:p>
            <w:r>
              <w:rPr>
                <w:b/>
                <w:color w:val="FFFFFF"/>
                <w:sz w:val="20"/>
              </w:rPr>
              <w:t>Responsibility</w:t>
            </w:r>
          </w:p>
        </w:tc>
      </w:tr>
      <w:tr>
        <w:tc>
          <w:tcPr>
            <w:tcW w:type="dxa" w:w="3289"/>
            <w:vAlign w:val="top"/>
          </w:tcPr>
          <w:p>
            <w:r>
              <w:rPr>
                <w:sz w:val="19"/>
              </w:rPr>
              <w:t>Solution Architect</w:t>
            </w:r>
          </w:p>
        </w:tc>
        <w:tc>
          <w:tcPr>
            <w:tcW w:type="dxa" w:w="3289"/>
            <w:vAlign w:val="top"/>
          </w:tcPr>
          <w:p>
            <w:r>
              <w:rPr>
                <w:sz w:val="19"/>
              </w:rPr>
              <w:t>1</w:t>
            </w:r>
          </w:p>
        </w:tc>
        <w:tc>
          <w:tcPr>
            <w:tcW w:type="dxa" w:w="3289"/>
            <w:vAlign w:val="top"/>
          </w:tcPr>
          <w:p>
            <w:r>
              <w:rPr>
                <w:sz w:val="19"/>
              </w:rPr>
              <w:t>Overall design and architecture. Stakeholder alignment with Keysight. Single point of accountability for the delivery.</w:t>
            </w:r>
          </w:p>
        </w:tc>
      </w:tr>
      <w:tr>
        <w:tc>
          <w:tcPr>
            <w:tcW w:type="dxa" w:w="3289"/>
            <w:vAlign w:val="top"/>
          </w:tcPr>
          <w:p>
            <w:r>
              <w:rPr>
                <w:sz w:val="19"/>
              </w:rPr>
              <w:t>AI / ML Lead</w:t>
            </w:r>
          </w:p>
        </w:tc>
        <w:tc>
          <w:tcPr>
            <w:tcW w:type="dxa" w:w="3289"/>
            <w:vAlign w:val="top"/>
          </w:tcPr>
          <w:p>
            <w:r>
              <w:rPr>
                <w:sz w:val="19"/>
              </w:rPr>
              <w:t>1</w:t>
            </w:r>
          </w:p>
        </w:tc>
        <w:tc>
          <w:tcPr>
            <w:tcW w:type="dxa" w:w="3289"/>
            <w:vAlign w:val="top"/>
          </w:tcPr>
          <w:p>
            <w:r>
              <w:rPr>
                <w:sz w:val="19"/>
              </w:rPr>
              <w:t>Classification, extraction, confidence calibration, translation. Owns the Knowledge Bases and the operational rule book mapping.</w:t>
            </w:r>
          </w:p>
        </w:tc>
      </w:tr>
      <w:tr>
        <w:tc>
          <w:tcPr>
            <w:tcW w:type="dxa" w:w="3289"/>
            <w:vAlign w:val="top"/>
          </w:tcPr>
          <w:p>
            <w:r>
              <w:rPr>
                <w:sz w:val="19"/>
              </w:rPr>
              <w:t>AI / ML Engineer</w:t>
            </w:r>
          </w:p>
        </w:tc>
        <w:tc>
          <w:tcPr>
            <w:tcW w:type="dxa" w:w="3289"/>
            <w:vAlign w:val="top"/>
          </w:tcPr>
          <w:p>
            <w:r>
              <w:rPr>
                <w:sz w:val="19"/>
              </w:rPr>
              <w:t>1</w:t>
            </w:r>
          </w:p>
        </w:tc>
        <w:tc>
          <w:tcPr>
            <w:tcW w:type="dxa" w:w="3289"/>
            <w:vAlign w:val="top"/>
          </w:tcPr>
          <w:p>
            <w:r>
              <w:rPr>
                <w:sz w:val="19"/>
              </w:rPr>
              <w:t>Pair-builds the AI / ML capabilities. Builds the regression-test harness against the labelled corpus and runs the 60 / 20 / 20 train, validation, test split.</w:t>
            </w:r>
          </w:p>
        </w:tc>
      </w:tr>
      <w:tr>
        <w:tc>
          <w:tcPr>
            <w:tcW w:type="dxa" w:w="3289"/>
            <w:vAlign w:val="top"/>
          </w:tcPr>
          <w:p>
            <w:r>
              <w:rPr>
                <w:sz w:val="19"/>
              </w:rPr>
              <w:t>Integration Engineer</w:t>
            </w:r>
          </w:p>
        </w:tc>
        <w:tc>
          <w:tcPr>
            <w:tcW w:type="dxa" w:w="3289"/>
            <w:vAlign w:val="top"/>
          </w:tcPr>
          <w:p>
            <w:r>
              <w:rPr>
                <w:sz w:val="19"/>
              </w:rPr>
              <w:t>2</w:t>
            </w:r>
          </w:p>
        </w:tc>
        <w:tc>
          <w:tcPr>
            <w:tcW w:type="dxa" w:w="3289"/>
            <w:vAlign w:val="top"/>
          </w:tcPr>
          <w:p>
            <w:r>
              <w:rPr>
                <w:sz w:val="19"/>
              </w:rPr>
              <w:t>Salesforce, Outlook through Microsoft Graph plus IMAP and SMTP, and the Jitterbit channel Keysight provides to Oracle EBS and DocuNet. ServiceNow-side integration is owned by Keysight's dev team; these roles coordinate with that team.</w:t>
            </w:r>
          </w:p>
        </w:tc>
      </w:tr>
      <w:tr>
        <w:tc>
          <w:tcPr>
            <w:tcW w:type="dxa" w:w="3289"/>
            <w:vAlign w:val="top"/>
          </w:tcPr>
          <w:p>
            <w:r>
              <w:rPr>
                <w:sz w:val="19"/>
              </w:rPr>
              <w:t>Backend Engineer</w:t>
            </w:r>
          </w:p>
        </w:tc>
        <w:tc>
          <w:tcPr>
            <w:tcW w:type="dxa" w:w="3289"/>
            <w:vAlign w:val="top"/>
          </w:tcPr>
          <w:p>
            <w:r>
              <w:rPr>
                <w:sz w:val="19"/>
              </w:rPr>
              <w:t>1</w:t>
            </w:r>
          </w:p>
        </w:tc>
        <w:tc>
          <w:tcPr>
            <w:tcW w:type="dxa" w:w="3289"/>
            <w:vAlign w:val="top"/>
          </w:tcPr>
          <w:p>
            <w:r>
              <w:rPr>
                <w:sz w:val="19"/>
              </w:rPr>
              <w:t>Orchestrator services, HITL portal API, audit trail, Knowledge Base authoring API.</w:t>
            </w:r>
          </w:p>
        </w:tc>
      </w:tr>
      <w:tr>
        <w:tc>
          <w:tcPr>
            <w:tcW w:type="dxa" w:w="3289"/>
            <w:vAlign w:val="top"/>
          </w:tcPr>
          <w:p>
            <w:r>
              <w:rPr>
                <w:sz w:val="19"/>
              </w:rPr>
              <w:t>Frontend Engineer</w:t>
            </w:r>
          </w:p>
        </w:tc>
        <w:tc>
          <w:tcPr>
            <w:tcW w:type="dxa" w:w="3289"/>
            <w:vAlign w:val="top"/>
          </w:tcPr>
          <w:p>
            <w:r>
              <w:rPr>
                <w:sz w:val="19"/>
              </w:rPr>
              <w:t>1</w:t>
            </w:r>
          </w:p>
        </w:tc>
        <w:tc>
          <w:tcPr>
            <w:tcW w:type="dxa" w:w="3289"/>
            <w:vAlign w:val="top"/>
          </w:tcPr>
          <w:p>
            <w:r>
              <w:rPr>
                <w:sz w:val="19"/>
              </w:rPr>
              <w:t>Operator HITL portal, Knowledge Base authoring screens, analytics dashboards.</w:t>
            </w:r>
          </w:p>
        </w:tc>
      </w:tr>
      <w:tr>
        <w:tc>
          <w:tcPr>
            <w:tcW w:type="dxa" w:w="3289"/>
            <w:vAlign w:val="top"/>
          </w:tcPr>
          <w:p>
            <w:r>
              <w:rPr>
                <w:sz w:val="19"/>
              </w:rPr>
              <w:t>QA and UAT Engineer</w:t>
            </w:r>
          </w:p>
        </w:tc>
        <w:tc>
          <w:tcPr>
            <w:tcW w:type="dxa" w:w="3289"/>
            <w:vAlign w:val="top"/>
          </w:tcPr>
          <w:p>
            <w:r>
              <w:rPr>
                <w:sz w:val="19"/>
              </w:rPr>
              <w:t>1</w:t>
            </w:r>
          </w:p>
        </w:tc>
        <w:tc>
          <w:tcPr>
            <w:tcW w:type="dxa" w:w="3289"/>
            <w:vAlign w:val="top"/>
          </w:tcPr>
          <w:p>
            <w:r>
              <w:rPr>
                <w:sz w:val="19"/>
              </w:rPr>
              <w:t>Regression test corpus, performance and stress tests, UAT scripts, disaster-recovery verification.</w:t>
            </w:r>
          </w:p>
        </w:tc>
      </w:tr>
      <w:tr>
        <w:tc>
          <w:tcPr>
            <w:tcW w:type="dxa" w:w="3289"/>
            <w:vAlign w:val="top"/>
          </w:tcPr>
          <w:p>
            <w:r>
              <w:rPr>
                <w:sz w:val="19"/>
              </w:rPr>
              <w:t>Project Manager</w:t>
            </w:r>
          </w:p>
        </w:tc>
        <w:tc>
          <w:tcPr>
            <w:tcW w:type="dxa" w:w="3289"/>
            <w:vAlign w:val="top"/>
          </w:tcPr>
          <w:p>
            <w:r>
              <w:rPr>
                <w:sz w:val="19"/>
              </w:rPr>
              <w:t>1</w:t>
            </w:r>
          </w:p>
        </w:tc>
        <w:tc>
          <w:tcPr>
            <w:tcW w:type="dxa" w:w="3289"/>
            <w:vAlign w:val="top"/>
          </w:tcPr>
          <w:p>
            <w:r>
              <w:rPr>
                <w:sz w:val="19"/>
              </w:rPr>
              <w:t>Phase delivery, releases, change control, governance, weekly update call. Owns the shared backlog.</w:t>
            </w:r>
          </w:p>
        </w:tc>
      </w:tr>
    </w:tbl>
    <w:p>
      <w:pPr>
        <w:spacing w:after="80"/>
      </w:pPr>
      <w:r>
        <w:rPr>
          <w:b w:val="0"/>
          <w:i w:val="0"/>
          <w:color w:val="6B7280"/>
          <w:sz w:val="21"/>
        </w:rPr>
        <w:t>Nine people across the ten-week engagement.</w:t>
      </w:r>
    </w:p>
    <w:p>
      <w:pPr>
        <w:pStyle w:val="Heading2"/>
        <w:spacing w:before="160" w:after="80"/>
      </w:pPr>
      <w:r>
        <w:rPr>
          <w:color w:val="131426"/>
        </w:rPr>
        <w:t>7.2 Week-by-week resource utilisation</w:t>
      </w:r>
    </w:p>
    <w:p>
      <w:pPr>
        <w:spacing w:after="80"/>
      </w:pPr>
      <w:r>
        <w:rPr>
          <w:b w:val="0"/>
          <w:i w:val="0"/>
          <w:sz w:val="21"/>
        </w:rPr>
        <w:t>Resource allocation by week. Each cell is full-time-equivalent (FTE) days per week for that role: 5 indicates full-time on the engagement, 0 indicates not on the engagement that week. The Solution Architect, AI / ML Lead, and Project Manager are continuous across the engagement. Build roles ramp into MVP Build (Weeks 5 to 8) and wind down across Testing and Tuning (Weeks 9 to 10). QA and UAT capacity ramps from MVP Build into peak coverage across Testing and Tuning.</w:t>
      </w:r>
    </w:p>
    <w:tbl>
      <w:tblPr>
        <w:tblStyle w:val="LightGrid-Accent1"/>
        <w:tblW w:type="auto" w:w="0"/>
        <w:tblLook w:firstColumn="1" w:firstRow="1" w:lastColumn="0" w:lastRow="0" w:noHBand="0" w:noVBand="1" w:val="04A0"/>
      </w:tblPr>
      <w:tblGrid>
        <w:gridCol w:w="822"/>
        <w:gridCol w:w="822"/>
        <w:gridCol w:w="822"/>
        <w:gridCol w:w="822"/>
        <w:gridCol w:w="822"/>
        <w:gridCol w:w="822"/>
        <w:gridCol w:w="822"/>
        <w:gridCol w:w="822"/>
        <w:gridCol w:w="822"/>
        <w:gridCol w:w="822"/>
        <w:gridCol w:w="822"/>
        <w:gridCol w:w="822"/>
      </w:tblGrid>
      <w:tr>
        <w:tc>
          <w:tcPr>
            <w:tcW w:type="dxa" w:w="822"/>
            <w:shd w:val="clear" w:color="auto" w:fill="1A55F9"/>
          </w:tcPr>
          <w:p>
            <w:r>
              <w:rPr>
                <w:b/>
                <w:color w:val="FFFFFF"/>
                <w:sz w:val="19"/>
              </w:rPr>
              <w:t>Role</w:t>
            </w:r>
          </w:p>
        </w:tc>
        <w:tc>
          <w:tcPr>
            <w:tcW w:type="dxa" w:w="822"/>
            <w:shd w:val="clear" w:color="auto" w:fill="1A55F9"/>
          </w:tcPr>
          <w:p>
            <w:r>
              <w:rPr>
                <w:b/>
                <w:color w:val="FFFFFF"/>
                <w:sz w:val="19"/>
              </w:rPr>
              <w:t>Wk 1</w:t>
            </w:r>
          </w:p>
        </w:tc>
        <w:tc>
          <w:tcPr>
            <w:tcW w:type="dxa" w:w="822"/>
            <w:shd w:val="clear" w:color="auto" w:fill="1A55F9"/>
          </w:tcPr>
          <w:p>
            <w:r>
              <w:rPr>
                <w:b/>
                <w:color w:val="FFFFFF"/>
                <w:sz w:val="19"/>
              </w:rPr>
              <w:t>Wk 2</w:t>
            </w:r>
          </w:p>
        </w:tc>
        <w:tc>
          <w:tcPr>
            <w:tcW w:type="dxa" w:w="822"/>
            <w:shd w:val="clear" w:color="auto" w:fill="1A55F9"/>
          </w:tcPr>
          <w:p>
            <w:r>
              <w:rPr>
                <w:b/>
                <w:color w:val="FFFFFF"/>
                <w:sz w:val="19"/>
              </w:rPr>
              <w:t>Wk 3</w:t>
            </w:r>
          </w:p>
        </w:tc>
        <w:tc>
          <w:tcPr>
            <w:tcW w:type="dxa" w:w="822"/>
            <w:shd w:val="clear" w:color="auto" w:fill="1A55F9"/>
          </w:tcPr>
          <w:p>
            <w:r>
              <w:rPr>
                <w:b/>
                <w:color w:val="FFFFFF"/>
                <w:sz w:val="19"/>
              </w:rPr>
              <w:t>Wk 4</w:t>
            </w:r>
          </w:p>
        </w:tc>
        <w:tc>
          <w:tcPr>
            <w:tcW w:type="dxa" w:w="822"/>
            <w:shd w:val="clear" w:color="auto" w:fill="1A55F9"/>
          </w:tcPr>
          <w:p>
            <w:r>
              <w:rPr>
                <w:b/>
                <w:color w:val="FFFFFF"/>
                <w:sz w:val="19"/>
              </w:rPr>
              <w:t>Wk 5</w:t>
            </w:r>
          </w:p>
        </w:tc>
        <w:tc>
          <w:tcPr>
            <w:tcW w:type="dxa" w:w="822"/>
            <w:shd w:val="clear" w:color="auto" w:fill="1A55F9"/>
          </w:tcPr>
          <w:p>
            <w:r>
              <w:rPr>
                <w:b/>
                <w:color w:val="FFFFFF"/>
                <w:sz w:val="19"/>
              </w:rPr>
              <w:t>Wk 6</w:t>
            </w:r>
          </w:p>
        </w:tc>
        <w:tc>
          <w:tcPr>
            <w:tcW w:type="dxa" w:w="822"/>
            <w:shd w:val="clear" w:color="auto" w:fill="1A55F9"/>
          </w:tcPr>
          <w:p>
            <w:r>
              <w:rPr>
                <w:b/>
                <w:color w:val="FFFFFF"/>
                <w:sz w:val="19"/>
              </w:rPr>
              <w:t>Wk 7</w:t>
            </w:r>
          </w:p>
        </w:tc>
        <w:tc>
          <w:tcPr>
            <w:tcW w:type="dxa" w:w="822"/>
            <w:shd w:val="clear" w:color="auto" w:fill="1A55F9"/>
          </w:tcPr>
          <w:p>
            <w:r>
              <w:rPr>
                <w:b/>
                <w:color w:val="FFFFFF"/>
                <w:sz w:val="19"/>
              </w:rPr>
              <w:t>Wk 8</w:t>
            </w:r>
          </w:p>
        </w:tc>
        <w:tc>
          <w:tcPr>
            <w:tcW w:type="dxa" w:w="822"/>
            <w:shd w:val="clear" w:color="auto" w:fill="1A55F9"/>
          </w:tcPr>
          <w:p>
            <w:r>
              <w:rPr>
                <w:b/>
                <w:color w:val="FFFFFF"/>
                <w:sz w:val="19"/>
              </w:rPr>
              <w:t>Wk 9</w:t>
            </w:r>
          </w:p>
        </w:tc>
        <w:tc>
          <w:tcPr>
            <w:tcW w:type="dxa" w:w="822"/>
            <w:shd w:val="clear" w:color="auto" w:fill="1A55F9"/>
          </w:tcPr>
          <w:p>
            <w:r>
              <w:rPr>
                <w:b/>
                <w:color w:val="FFFFFF"/>
                <w:sz w:val="19"/>
              </w:rPr>
              <w:t>Wk 10</w:t>
            </w:r>
          </w:p>
        </w:tc>
        <w:tc>
          <w:tcPr>
            <w:tcW w:type="dxa" w:w="822"/>
            <w:shd w:val="clear" w:color="auto" w:fill="1A55F9"/>
          </w:tcPr>
          <w:p>
            <w:r>
              <w:rPr>
                <w:b/>
                <w:color w:val="FFFFFF"/>
                <w:sz w:val="19"/>
              </w:rPr>
              <w:t>Total</w:t>
            </w:r>
          </w:p>
        </w:tc>
      </w:tr>
      <w:tr>
        <w:tc>
          <w:tcPr>
            <w:tcW w:type="dxa" w:w="822"/>
            <w:vAlign w:val="top"/>
          </w:tcPr>
          <w:p>
            <w:r>
              <w:rPr>
                <w:b/>
                <w:sz w:val="19"/>
              </w:rPr>
              <w:t>Solution Architect</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50</w:t>
            </w:r>
          </w:p>
        </w:tc>
      </w:tr>
      <w:tr>
        <w:tc>
          <w:tcPr>
            <w:tcW w:type="dxa" w:w="822"/>
            <w:vAlign w:val="top"/>
          </w:tcPr>
          <w:p>
            <w:r>
              <w:rPr>
                <w:b/>
                <w:sz w:val="19"/>
              </w:rPr>
              <w:t>AI / ML Lead</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50</w:t>
            </w:r>
          </w:p>
        </w:tc>
      </w:tr>
      <w:tr>
        <w:tc>
          <w:tcPr>
            <w:tcW w:type="dxa" w:w="822"/>
            <w:vAlign w:val="top"/>
          </w:tcPr>
          <w:p>
            <w:r>
              <w:rPr>
                <w:b/>
                <w:sz w:val="19"/>
              </w:rPr>
              <w:t>AI / ML Engineer</w:t>
            </w:r>
          </w:p>
        </w:tc>
        <w:tc>
          <w:tcPr>
            <w:tcW w:type="dxa" w:w="822"/>
            <w:vAlign w:val="top"/>
          </w:tcPr>
          <w:p>
            <w:r>
              <w:rPr>
                <w:sz w:val="19"/>
              </w:rPr>
              <w:t>3</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48</w:t>
            </w:r>
          </w:p>
        </w:tc>
      </w:tr>
      <w:tr>
        <w:tc>
          <w:tcPr>
            <w:tcW w:type="dxa" w:w="822"/>
            <w:vAlign w:val="top"/>
          </w:tcPr>
          <w:p>
            <w:r>
              <w:rPr>
                <w:b/>
                <w:sz w:val="19"/>
              </w:rPr>
              <w:t>Integration Engineer x 2</w:t>
            </w:r>
          </w:p>
        </w:tc>
        <w:tc>
          <w:tcPr>
            <w:tcW w:type="dxa" w:w="822"/>
            <w:vAlign w:val="top"/>
          </w:tcPr>
          <w:p>
            <w:r>
              <w:rPr>
                <w:sz w:val="19"/>
              </w:rPr>
              <w:t>4</w:t>
            </w:r>
          </w:p>
        </w:tc>
        <w:tc>
          <w:tcPr>
            <w:tcW w:type="dxa" w:w="822"/>
            <w:vAlign w:val="top"/>
          </w:tcPr>
          <w:p>
            <w:r>
              <w:rPr>
                <w:sz w:val="19"/>
              </w:rPr>
              <w:t>6</w:t>
            </w:r>
          </w:p>
        </w:tc>
        <w:tc>
          <w:tcPr>
            <w:tcW w:type="dxa" w:w="822"/>
            <w:vAlign w:val="top"/>
          </w:tcPr>
          <w:p>
            <w:r>
              <w:rPr>
                <w:sz w:val="19"/>
              </w:rPr>
              <w:t>8</w:t>
            </w:r>
          </w:p>
        </w:tc>
        <w:tc>
          <w:tcPr>
            <w:tcW w:type="dxa" w:w="822"/>
            <w:vAlign w:val="top"/>
          </w:tcPr>
          <w:p>
            <w:r>
              <w:rPr>
                <w:sz w:val="19"/>
              </w:rPr>
              <w:t>8</w:t>
            </w:r>
          </w:p>
        </w:tc>
        <w:tc>
          <w:tcPr>
            <w:tcW w:type="dxa" w:w="822"/>
            <w:vAlign w:val="top"/>
          </w:tcPr>
          <w:p>
            <w:r>
              <w:rPr>
                <w:sz w:val="19"/>
              </w:rPr>
              <w:t>10</w:t>
            </w:r>
          </w:p>
        </w:tc>
        <w:tc>
          <w:tcPr>
            <w:tcW w:type="dxa" w:w="822"/>
            <w:vAlign w:val="top"/>
          </w:tcPr>
          <w:p>
            <w:r>
              <w:rPr>
                <w:sz w:val="19"/>
              </w:rPr>
              <w:t>10</w:t>
            </w:r>
          </w:p>
        </w:tc>
        <w:tc>
          <w:tcPr>
            <w:tcW w:type="dxa" w:w="822"/>
            <w:vAlign w:val="top"/>
          </w:tcPr>
          <w:p>
            <w:r>
              <w:rPr>
                <w:sz w:val="19"/>
              </w:rPr>
              <w:t>10</w:t>
            </w:r>
          </w:p>
        </w:tc>
        <w:tc>
          <w:tcPr>
            <w:tcW w:type="dxa" w:w="822"/>
            <w:vAlign w:val="top"/>
          </w:tcPr>
          <w:p>
            <w:r>
              <w:rPr>
                <w:sz w:val="19"/>
              </w:rPr>
              <w:t>10</w:t>
            </w:r>
          </w:p>
        </w:tc>
        <w:tc>
          <w:tcPr>
            <w:tcW w:type="dxa" w:w="822"/>
            <w:vAlign w:val="top"/>
          </w:tcPr>
          <w:p>
            <w:r>
              <w:rPr>
                <w:sz w:val="19"/>
              </w:rPr>
              <w:t>8</w:t>
            </w:r>
          </w:p>
        </w:tc>
        <w:tc>
          <w:tcPr>
            <w:tcW w:type="dxa" w:w="822"/>
            <w:vAlign w:val="top"/>
          </w:tcPr>
          <w:p>
            <w:r>
              <w:rPr>
                <w:sz w:val="19"/>
              </w:rPr>
              <w:t>6</w:t>
            </w:r>
          </w:p>
        </w:tc>
        <w:tc>
          <w:tcPr>
            <w:tcW w:type="dxa" w:w="822"/>
            <w:vAlign w:val="top"/>
          </w:tcPr>
          <w:p>
            <w:r>
              <w:rPr>
                <w:sz w:val="19"/>
              </w:rPr>
              <w:t>80</w:t>
            </w:r>
          </w:p>
        </w:tc>
      </w:tr>
      <w:tr>
        <w:tc>
          <w:tcPr>
            <w:tcW w:type="dxa" w:w="822"/>
            <w:vAlign w:val="top"/>
          </w:tcPr>
          <w:p>
            <w:r>
              <w:rPr>
                <w:b/>
                <w:sz w:val="19"/>
              </w:rPr>
              <w:t>Backend Engineer</w:t>
            </w:r>
          </w:p>
        </w:tc>
        <w:tc>
          <w:tcPr>
            <w:tcW w:type="dxa" w:w="822"/>
            <w:vAlign w:val="top"/>
          </w:tcPr>
          <w:p>
            <w:r>
              <w:rPr>
                <w:sz w:val="19"/>
              </w:rPr>
              <w:t>3</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3</w:t>
            </w:r>
          </w:p>
        </w:tc>
        <w:tc>
          <w:tcPr>
            <w:tcW w:type="dxa" w:w="822"/>
            <w:vAlign w:val="top"/>
          </w:tcPr>
          <w:p>
            <w:r>
              <w:rPr>
                <w:sz w:val="19"/>
              </w:rPr>
              <w:t>2</w:t>
            </w:r>
          </w:p>
        </w:tc>
        <w:tc>
          <w:tcPr>
            <w:tcW w:type="dxa" w:w="822"/>
            <w:vAlign w:val="top"/>
          </w:tcPr>
          <w:p>
            <w:r>
              <w:rPr>
                <w:sz w:val="19"/>
              </w:rPr>
              <w:t>43</w:t>
            </w:r>
          </w:p>
        </w:tc>
      </w:tr>
      <w:tr>
        <w:tc>
          <w:tcPr>
            <w:tcW w:type="dxa" w:w="822"/>
            <w:vAlign w:val="top"/>
          </w:tcPr>
          <w:p>
            <w:r>
              <w:rPr>
                <w:b/>
                <w:sz w:val="19"/>
              </w:rPr>
              <w:t>Frontend Engineer</w:t>
            </w:r>
          </w:p>
        </w:tc>
        <w:tc>
          <w:tcPr>
            <w:tcW w:type="dxa" w:w="822"/>
            <w:vAlign w:val="top"/>
          </w:tcPr>
          <w:p>
            <w:r>
              <w:rPr>
                <w:sz w:val="19"/>
              </w:rPr>
              <w:t>2</w:t>
            </w:r>
          </w:p>
        </w:tc>
        <w:tc>
          <w:tcPr>
            <w:tcW w:type="dxa" w:w="822"/>
            <w:vAlign w:val="top"/>
          </w:tcPr>
          <w:p>
            <w:r>
              <w:rPr>
                <w:sz w:val="19"/>
              </w:rPr>
              <w:t>3</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3</w:t>
            </w:r>
          </w:p>
        </w:tc>
        <w:tc>
          <w:tcPr>
            <w:tcW w:type="dxa" w:w="822"/>
            <w:vAlign w:val="top"/>
          </w:tcPr>
          <w:p>
            <w:r>
              <w:rPr>
                <w:sz w:val="19"/>
              </w:rPr>
              <w:t>2</w:t>
            </w:r>
          </w:p>
        </w:tc>
        <w:tc>
          <w:tcPr>
            <w:tcW w:type="dxa" w:w="822"/>
            <w:vAlign w:val="top"/>
          </w:tcPr>
          <w:p>
            <w:r>
              <w:rPr>
                <w:sz w:val="19"/>
              </w:rPr>
              <w:t>40</w:t>
            </w:r>
          </w:p>
        </w:tc>
      </w:tr>
      <w:tr>
        <w:tc>
          <w:tcPr>
            <w:tcW w:type="dxa" w:w="822"/>
            <w:vAlign w:val="top"/>
          </w:tcPr>
          <w:p>
            <w:r>
              <w:rPr>
                <w:b/>
                <w:sz w:val="19"/>
              </w:rPr>
              <w:t>QA and UAT Engineer</w:t>
            </w:r>
          </w:p>
        </w:tc>
        <w:tc>
          <w:tcPr>
            <w:tcW w:type="dxa" w:w="822"/>
            <w:vAlign w:val="top"/>
          </w:tcPr>
          <w:p>
            <w:r>
              <w:rPr>
                <w:sz w:val="19"/>
              </w:rPr>
              <w:t>1</w:t>
            </w:r>
          </w:p>
        </w:tc>
        <w:tc>
          <w:tcPr>
            <w:tcW w:type="dxa" w:w="822"/>
            <w:vAlign w:val="top"/>
          </w:tcPr>
          <w:p>
            <w:r>
              <w:rPr>
                <w:sz w:val="19"/>
              </w:rPr>
              <w:t>2</w:t>
            </w:r>
          </w:p>
        </w:tc>
        <w:tc>
          <w:tcPr>
            <w:tcW w:type="dxa" w:w="822"/>
            <w:vAlign w:val="top"/>
          </w:tcPr>
          <w:p>
            <w:r>
              <w:rPr>
                <w:sz w:val="19"/>
              </w:rPr>
              <w:t>2</w:t>
            </w:r>
          </w:p>
        </w:tc>
        <w:tc>
          <w:tcPr>
            <w:tcW w:type="dxa" w:w="822"/>
            <w:vAlign w:val="top"/>
          </w:tcPr>
          <w:p>
            <w:r>
              <w:rPr>
                <w:sz w:val="19"/>
              </w:rPr>
              <w:t>3</w:t>
            </w:r>
          </w:p>
        </w:tc>
        <w:tc>
          <w:tcPr>
            <w:tcW w:type="dxa" w:w="822"/>
            <w:vAlign w:val="top"/>
          </w:tcPr>
          <w:p>
            <w:r>
              <w:rPr>
                <w:sz w:val="19"/>
              </w:rPr>
              <w:t>3</w:t>
            </w:r>
          </w:p>
        </w:tc>
        <w:tc>
          <w:tcPr>
            <w:tcW w:type="dxa" w:w="822"/>
            <w:vAlign w:val="top"/>
          </w:tcPr>
          <w:p>
            <w:r>
              <w:rPr>
                <w:sz w:val="19"/>
              </w:rPr>
              <w:t>4</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35</w:t>
            </w:r>
          </w:p>
        </w:tc>
      </w:tr>
      <w:tr>
        <w:tc>
          <w:tcPr>
            <w:tcW w:type="dxa" w:w="822"/>
            <w:vAlign w:val="top"/>
          </w:tcPr>
          <w:p>
            <w:r>
              <w:rPr>
                <w:b/>
                <w:sz w:val="19"/>
              </w:rPr>
              <w:t>Project Manager</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w:t>
            </w:r>
          </w:p>
        </w:tc>
        <w:tc>
          <w:tcPr>
            <w:tcW w:type="dxa" w:w="822"/>
            <w:vAlign w:val="top"/>
          </w:tcPr>
          <w:p>
            <w:r>
              <w:rPr>
                <w:sz w:val="19"/>
              </w:rPr>
              <w:t>50</w:t>
            </w:r>
          </w:p>
        </w:tc>
      </w:tr>
      <w:tr>
        <w:tc>
          <w:tcPr>
            <w:tcW w:type="dxa" w:w="822"/>
            <w:vAlign w:val="top"/>
          </w:tcPr>
          <w:p>
            <w:r>
              <w:rPr>
                <w:b/>
                <w:sz w:val="19"/>
              </w:rPr>
              <w:t>Total FTE-days per week</w:t>
            </w:r>
          </w:p>
        </w:tc>
        <w:tc>
          <w:tcPr>
            <w:tcW w:type="dxa" w:w="822"/>
            <w:vAlign w:val="top"/>
          </w:tcPr>
          <w:p>
            <w:r>
              <w:rPr>
                <w:b/>
                <w:sz w:val="19"/>
              </w:rPr>
              <w:t>50</w:t>
            </w:r>
          </w:p>
        </w:tc>
        <w:tc>
          <w:tcPr>
            <w:tcW w:type="dxa" w:w="822"/>
            <w:vAlign w:val="top"/>
          </w:tcPr>
          <w:p>
            <w:r>
              <w:rPr>
                <w:b/>
                <w:sz w:val="19"/>
              </w:rPr>
              <w:t>50</w:t>
            </w:r>
          </w:p>
        </w:tc>
        <w:tc>
          <w:tcPr>
            <w:tcW w:type="dxa" w:w="822"/>
            <w:vAlign w:val="top"/>
          </w:tcPr>
          <w:p>
            <w:r>
              <w:rPr>
                <w:b/>
                <w:sz w:val="19"/>
              </w:rPr>
              <w:t>48</w:t>
            </w:r>
          </w:p>
        </w:tc>
        <w:tc>
          <w:tcPr>
            <w:tcW w:type="dxa" w:w="822"/>
            <w:vAlign w:val="top"/>
          </w:tcPr>
          <w:p>
            <w:r>
              <w:rPr>
                <w:b/>
                <w:sz w:val="19"/>
              </w:rPr>
              <w:t>80</w:t>
            </w:r>
          </w:p>
        </w:tc>
        <w:tc>
          <w:tcPr>
            <w:tcW w:type="dxa" w:w="822"/>
            <w:vAlign w:val="top"/>
          </w:tcPr>
          <w:p>
            <w:r>
              <w:rPr>
                <w:b/>
                <w:sz w:val="19"/>
              </w:rPr>
              <w:t>43</w:t>
            </w:r>
          </w:p>
        </w:tc>
        <w:tc>
          <w:tcPr>
            <w:tcW w:type="dxa" w:w="822"/>
            <w:vAlign w:val="top"/>
          </w:tcPr>
          <w:p>
            <w:r>
              <w:rPr>
                <w:b/>
                <w:sz w:val="19"/>
              </w:rPr>
              <w:t>40</w:t>
            </w:r>
          </w:p>
        </w:tc>
        <w:tc>
          <w:tcPr>
            <w:tcW w:type="dxa" w:w="822"/>
            <w:vAlign w:val="top"/>
          </w:tcPr>
          <w:p>
            <w:r>
              <w:rPr>
                <w:b/>
                <w:sz w:val="19"/>
              </w:rPr>
              <w:t>35</w:t>
            </w:r>
          </w:p>
        </w:tc>
        <w:tc>
          <w:tcPr>
            <w:tcW w:type="dxa" w:w="822"/>
            <w:vAlign w:val="top"/>
          </w:tcPr>
          <w:p>
            <w:r>
              <w:rPr>
                <w:b/>
                <w:sz w:val="19"/>
              </w:rPr>
              <w:t>50</w:t>
            </w:r>
          </w:p>
        </w:tc>
        <w:tc>
          <w:tcPr>
            <w:tcW w:type="dxa" w:w="822"/>
            <w:vAlign w:val="top"/>
          </w:tcPr>
          <w:p>
            <w:r>
              <w:rPr>
                <w:b/>
                <w:sz w:val="19"/>
              </w:rPr>
              <w:t>396</w:t>
            </w:r>
          </w:p>
        </w:tc>
        <w:tc>
          <w:tcPr>
            <w:tcW w:type="dxa" w:w="822"/>
          </w:tcPr>
          <w:p/>
        </w:tc>
        <w:tc>
          <w:tcPr>
            <w:tcW w:type="dxa" w:w="822"/>
          </w:tcPr>
          <w:p/>
        </w:tc>
      </w:tr>
    </w:tbl>
    <w:p>
      <w:pPr>
        <w:spacing w:after="80"/>
      </w:pPr>
      <w:r>
        <w:rPr>
          <w:b w:val="0"/>
          <w:i w:val="0"/>
          <w:color w:val="6B7280"/>
          <w:sz w:val="21"/>
        </w:rPr>
        <w:t>Engineering continuity from the prior POC sits inside the AI / ML Lead and AI / ML Engineer rows. The same individuals who carried that work are part of the proposed team.</w:t>
      </w:r>
    </w:p>
    <w:p>
      <w:pPr>
        <w:pStyle w:val="Heading2"/>
        <w:spacing w:before="160" w:after="80"/>
      </w:pPr>
      <w:r>
        <w:rPr>
          <w:color w:val="131426"/>
        </w:rPr>
        <w:t>7.3 Hypercare team (Weeks 11 to 14, post go-live)</w:t>
      </w:r>
    </w:p>
    <w:p>
      <w:pPr>
        <w:spacing w:after="80"/>
      </w:pPr>
      <w:r>
        <w:rPr>
          <w:b w:val="0"/>
          <w:i w:val="0"/>
          <w:sz w:val="21"/>
        </w:rPr>
        <w:t>Hypercare runs for the first three months following production cutover. The hypercare team is a focused subset of the delivery team, retained specifically to absorb the first wave of operational findings, the first weeks of real-mail drift, and the first round of CSR feedback at scale. Hypercare is included in the implementation price; no separate fee applies.</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Role</w:t>
            </w:r>
          </w:p>
        </w:tc>
        <w:tc>
          <w:tcPr>
            <w:tcW w:type="dxa" w:w="3289"/>
            <w:shd w:val="clear" w:color="auto" w:fill="1A55F9"/>
          </w:tcPr>
          <w:p>
            <w:r>
              <w:rPr>
                <w:b/>
                <w:color w:val="FFFFFF"/>
                <w:sz w:val="20"/>
              </w:rPr>
              <w:t>Coverage during hypercare</w:t>
            </w:r>
          </w:p>
        </w:tc>
        <w:tc>
          <w:tcPr>
            <w:tcW w:type="dxa" w:w="3289"/>
            <w:shd w:val="clear" w:color="auto" w:fill="1A55F9"/>
          </w:tcPr>
          <w:p>
            <w:r>
              <w:rPr>
                <w:b/>
                <w:color w:val="FFFFFF"/>
                <w:sz w:val="20"/>
              </w:rPr>
              <w:t>Responsibility</w:t>
            </w:r>
          </w:p>
        </w:tc>
      </w:tr>
      <w:tr>
        <w:tc>
          <w:tcPr>
            <w:tcW w:type="dxa" w:w="3289"/>
            <w:vAlign w:val="top"/>
          </w:tcPr>
          <w:p>
            <w:r>
              <w:rPr>
                <w:sz w:val="19"/>
              </w:rPr>
              <w:t>Hypercare Lead (Solution Architect)</w:t>
            </w:r>
          </w:p>
        </w:tc>
        <w:tc>
          <w:tcPr>
            <w:tcW w:type="dxa" w:w="3289"/>
            <w:vAlign w:val="top"/>
          </w:tcPr>
          <w:p>
            <w:r>
              <w:rPr>
                <w:sz w:val="19"/>
              </w:rPr>
              <w:t>0.5 FTE, Keysight business hours</w:t>
            </w:r>
          </w:p>
        </w:tc>
        <w:tc>
          <w:tcPr>
            <w:tcW w:type="dxa" w:w="3289"/>
            <w:vAlign w:val="top"/>
          </w:tcPr>
          <w:p>
            <w:r>
              <w:rPr>
                <w:sz w:val="19"/>
              </w:rPr>
              <w:t>Single point of contact for Keysight during hypercare. Triages every escalation. Owns the hypercare exit report at the end of Week 14.</w:t>
            </w:r>
          </w:p>
        </w:tc>
      </w:tr>
      <w:tr>
        <w:tc>
          <w:tcPr>
            <w:tcW w:type="dxa" w:w="3289"/>
            <w:vAlign w:val="top"/>
          </w:tcPr>
          <w:p>
            <w:r>
              <w:rPr>
                <w:sz w:val="19"/>
              </w:rPr>
              <w:t>AI / ML Engineer (on-call)</w:t>
            </w:r>
          </w:p>
        </w:tc>
        <w:tc>
          <w:tcPr>
            <w:tcW w:type="dxa" w:w="3289"/>
            <w:vAlign w:val="top"/>
          </w:tcPr>
          <w:p>
            <w:r>
              <w:rPr>
                <w:sz w:val="19"/>
              </w:rPr>
              <w:t>0.5 FTE, Keysight business hours, 24x7 on-call for critical incidents</w:t>
            </w:r>
          </w:p>
        </w:tc>
        <w:tc>
          <w:tcPr>
            <w:tcW w:type="dxa" w:w="3289"/>
            <w:vAlign w:val="top"/>
          </w:tcPr>
          <w:p>
            <w:r>
              <w:rPr>
                <w:sz w:val="19"/>
              </w:rPr>
              <w:t>Tunes classifier and extraction schemas against the first real CSR corrections. Runs the weekly drift report. Promotes accepted rule-book updates.</w:t>
            </w:r>
          </w:p>
        </w:tc>
      </w:tr>
      <w:tr>
        <w:tc>
          <w:tcPr>
            <w:tcW w:type="dxa" w:w="3289"/>
            <w:vAlign w:val="top"/>
          </w:tcPr>
          <w:p>
            <w:r>
              <w:rPr>
                <w:sz w:val="19"/>
              </w:rPr>
              <w:t>Integration Engineer (on-call)</w:t>
            </w:r>
          </w:p>
        </w:tc>
        <w:tc>
          <w:tcPr>
            <w:tcW w:type="dxa" w:w="3289"/>
            <w:vAlign w:val="top"/>
          </w:tcPr>
          <w:p>
            <w:r>
              <w:rPr>
                <w:sz w:val="19"/>
              </w:rPr>
              <w:t>0.5 FTE, Keysight business hours, 24x7 on-call for critical incidents</w:t>
            </w:r>
          </w:p>
        </w:tc>
        <w:tc>
          <w:tcPr>
            <w:tcW w:type="dxa" w:w="3289"/>
            <w:vAlign w:val="top"/>
          </w:tcPr>
          <w:p>
            <w:r>
              <w:rPr>
                <w:sz w:val="19"/>
              </w:rPr>
              <w:t>First-line response on any Salesforce, Outlook, or Jitterbit integration issue (Jitterbit being the channel Keysight provides to Oracle EBS and DocuNet). Coordinates with Keysight's enterprise-system teams, including the Keysight dev team that owns the ServiceNow side.</w:t>
            </w:r>
          </w:p>
        </w:tc>
      </w:tr>
      <w:tr>
        <w:tc>
          <w:tcPr>
            <w:tcW w:type="dxa" w:w="3289"/>
            <w:vAlign w:val="top"/>
          </w:tcPr>
          <w:p>
            <w:r>
              <w:rPr>
                <w:sz w:val="19"/>
              </w:rPr>
              <w:t>Project Manager</w:t>
            </w:r>
          </w:p>
        </w:tc>
        <w:tc>
          <w:tcPr>
            <w:tcW w:type="dxa" w:w="3289"/>
            <w:vAlign w:val="top"/>
          </w:tcPr>
          <w:p>
            <w:r>
              <w:rPr>
                <w:sz w:val="19"/>
              </w:rPr>
              <w:t>0.25 FTE, Keysight business hours</w:t>
            </w:r>
          </w:p>
        </w:tc>
        <w:tc>
          <w:tcPr>
            <w:tcW w:type="dxa" w:w="3289"/>
            <w:vAlign w:val="top"/>
          </w:tcPr>
          <w:p>
            <w:r>
              <w:rPr>
                <w:sz w:val="19"/>
              </w:rPr>
              <w:t>Weekly hypercare update call. Weekly status report to Keysight executive sponsors. Coordinates mailbox-by-mailbox cutover for the remaining mailboxes.</w:t>
            </w:r>
          </w:p>
        </w:tc>
      </w:tr>
      <w:tr>
        <w:tc>
          <w:tcPr>
            <w:tcW w:type="dxa" w:w="3289"/>
            <w:vAlign w:val="top"/>
          </w:tcPr>
          <w:p>
            <w:r>
              <w:rPr>
                <w:sz w:val="19"/>
              </w:rPr>
              <w:t>Account Manager</w:t>
            </w:r>
          </w:p>
        </w:tc>
        <w:tc>
          <w:tcPr>
            <w:tcW w:type="dxa" w:w="3289"/>
            <w:vAlign w:val="top"/>
          </w:tcPr>
          <w:p>
            <w:r>
              <w:rPr>
                <w:sz w:val="19"/>
              </w:rPr>
              <w:t>0.1 FTE, named contact</w:t>
            </w:r>
          </w:p>
        </w:tc>
        <w:tc>
          <w:tcPr>
            <w:tcW w:type="dxa" w:w="3289"/>
            <w:vAlign w:val="top"/>
          </w:tcPr>
          <w:p>
            <w:r>
              <w:rPr>
                <w:sz w:val="19"/>
              </w:rPr>
              <w:t>Single point of contact for Keysight business sponsors. Monthly business review during hypercare. Hand-off to the steady-state support model at Week 14.</w:t>
            </w:r>
          </w:p>
        </w:tc>
      </w:tr>
    </w:tbl>
    <w:p>
      <w:pPr>
        <w:pStyle w:val="Heading2"/>
        <w:spacing w:before="160" w:after="80"/>
      </w:pPr>
      <w:r>
        <w:rPr>
          <w:color w:val="131426"/>
        </w:rPr>
        <w:t>7.4 Steady-state support model (from Week 15 onward)</w:t>
      </w:r>
    </w:p>
    <w:p>
      <w:pPr>
        <w:spacing w:after="80"/>
      </w:pPr>
      <w:r>
        <w:rPr>
          <w:b w:val="0"/>
          <w:i w:val="0"/>
          <w:sz w:val="21"/>
        </w:rPr>
        <w:t>After hypercare exit the team transitions to the steady-state support model. Tiered support with defined SLAs, scaled to deployed agent count and Keysight's ongoing operational pattern.</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Tier</w:t>
            </w:r>
          </w:p>
        </w:tc>
        <w:tc>
          <w:tcPr>
            <w:tcW w:type="dxa" w:w="3289"/>
            <w:shd w:val="clear" w:color="auto" w:fill="1A55F9"/>
          </w:tcPr>
          <w:p>
            <w:r>
              <w:rPr>
                <w:b/>
                <w:color w:val="FFFFFF"/>
                <w:sz w:val="20"/>
              </w:rPr>
              <w:t>Coverage</w:t>
            </w:r>
          </w:p>
        </w:tc>
        <w:tc>
          <w:tcPr>
            <w:tcW w:type="dxa" w:w="3289"/>
            <w:shd w:val="clear" w:color="auto" w:fill="1A55F9"/>
          </w:tcPr>
          <w:p>
            <w:r>
              <w:rPr>
                <w:b/>
                <w:color w:val="FFFFFF"/>
                <w:sz w:val="20"/>
              </w:rPr>
              <w:t>Responsibility</w:t>
            </w:r>
          </w:p>
        </w:tc>
      </w:tr>
      <w:tr>
        <w:tc>
          <w:tcPr>
            <w:tcW w:type="dxa" w:w="3289"/>
            <w:vAlign w:val="top"/>
          </w:tcPr>
          <w:p>
            <w:r>
              <w:rPr>
                <w:sz w:val="19"/>
              </w:rPr>
              <w:t>Tier 1 (L1) support</w:t>
            </w:r>
          </w:p>
        </w:tc>
        <w:tc>
          <w:tcPr>
            <w:tcW w:type="dxa" w:w="3289"/>
            <w:vAlign w:val="top"/>
          </w:tcPr>
          <w:p>
            <w:r>
              <w:rPr>
                <w:sz w:val="19"/>
              </w:rPr>
              <w:t>Keysight business hours</w:t>
            </w:r>
          </w:p>
        </w:tc>
        <w:tc>
          <w:tcPr>
            <w:tcW w:type="dxa" w:w="3289"/>
            <w:vAlign w:val="top"/>
          </w:tcPr>
          <w:p>
            <w:r>
              <w:rPr>
                <w:sz w:val="19"/>
              </w:rPr>
              <w:t>Monitoring, alert triage, first-line response, run-book execution.</w:t>
            </w:r>
          </w:p>
        </w:tc>
      </w:tr>
      <w:tr>
        <w:tc>
          <w:tcPr>
            <w:tcW w:type="dxa" w:w="3289"/>
            <w:vAlign w:val="top"/>
          </w:tcPr>
          <w:p>
            <w:r>
              <w:rPr>
                <w:sz w:val="19"/>
              </w:rPr>
              <w:t>Tier 2 (L2) support</w:t>
            </w:r>
          </w:p>
        </w:tc>
        <w:tc>
          <w:tcPr>
            <w:tcW w:type="dxa" w:w="3289"/>
            <w:vAlign w:val="top"/>
          </w:tcPr>
          <w:p>
            <w:r>
              <w:rPr>
                <w:sz w:val="19"/>
              </w:rPr>
              <w:t>Keysight business hours</w:t>
            </w:r>
          </w:p>
        </w:tc>
        <w:tc>
          <w:tcPr>
            <w:tcW w:type="dxa" w:w="3289"/>
            <w:vAlign w:val="top"/>
          </w:tcPr>
          <w:p>
            <w:r>
              <w:rPr>
                <w:sz w:val="19"/>
              </w:rPr>
              <w:t>Knowledge-base updates, integration fixes, minor enhancements, regression-test runs.</w:t>
            </w:r>
          </w:p>
        </w:tc>
      </w:tr>
      <w:tr>
        <w:tc>
          <w:tcPr>
            <w:tcW w:type="dxa" w:w="3289"/>
            <w:vAlign w:val="top"/>
          </w:tcPr>
          <w:p>
            <w:r>
              <w:rPr>
                <w:sz w:val="19"/>
              </w:rPr>
              <w:t>Tier 3 (L3) support</w:t>
            </w:r>
          </w:p>
        </w:tc>
        <w:tc>
          <w:tcPr>
            <w:tcW w:type="dxa" w:w="3289"/>
            <w:vAlign w:val="top"/>
          </w:tcPr>
          <w:p>
            <w:r>
              <w:rPr>
                <w:sz w:val="19"/>
              </w:rPr>
              <w:t>On-call 24 x 7 for critical incidents</w:t>
            </w:r>
          </w:p>
        </w:tc>
        <w:tc>
          <w:tcPr>
            <w:tcW w:type="dxa" w:w="3289"/>
            <w:vAlign w:val="top"/>
          </w:tcPr>
          <w:p>
            <w:r>
              <w:rPr>
                <w:sz w:val="19"/>
              </w:rPr>
              <w:t>Architecture issues, model changes, major incidents, security patches.</w:t>
            </w:r>
          </w:p>
        </w:tc>
      </w:tr>
      <w:tr>
        <w:tc>
          <w:tcPr>
            <w:tcW w:type="dxa" w:w="3289"/>
            <w:vAlign w:val="top"/>
          </w:tcPr>
          <w:p>
            <w:r>
              <w:rPr>
                <w:sz w:val="19"/>
              </w:rPr>
              <w:t>Account Manager</w:t>
            </w:r>
          </w:p>
        </w:tc>
        <w:tc>
          <w:tcPr>
            <w:tcW w:type="dxa" w:w="3289"/>
            <w:vAlign w:val="top"/>
          </w:tcPr>
          <w:p>
            <w:r>
              <w:rPr>
                <w:sz w:val="19"/>
              </w:rPr>
              <w:t>Named contact</w:t>
            </w:r>
          </w:p>
        </w:tc>
        <w:tc>
          <w:tcPr>
            <w:tcW w:type="dxa" w:w="3289"/>
            <w:vAlign w:val="top"/>
          </w:tcPr>
          <w:p>
            <w:r>
              <w:rPr>
                <w:sz w:val="19"/>
              </w:rPr>
              <w:t>Single point of contact for Keysight. Monthly business review. Capacity planning. Roadmap input.</w:t>
            </w:r>
          </w:p>
        </w:tc>
      </w:tr>
    </w:tbl>
    <w:p>
      <w:pPr>
        <w:pStyle w:val="Heading2"/>
        <w:spacing w:before="160" w:after="80"/>
      </w:pPr>
      <w:r>
        <w:rPr>
          <w:color w:val="131426"/>
        </w:rPr>
        <w:t>7.5 Engineering continuity from the prior POC</w:t>
      </w:r>
    </w:p>
    <w:p>
      <w:pPr>
        <w:spacing w:after="80"/>
      </w:pPr>
      <w:r>
        <w:rPr>
          <w:b w:val="0"/>
          <w:i w:val="0"/>
          <w:sz w:val="21"/>
        </w:rPr>
        <w:t>The same engineers who carried out Keysight's earlier POC engagement are part of the proposed delivery team. The POC work covered the upstream classification pattern, the operational rule book interpretation, the multi-attachment handling, and the Salesforce integration profile. Carrying those engineers into the MVP build means we do not have to rebuild the institutional context that the POC produced.</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