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color w:val="6B7280"/>
          <w:sz w:val="22"/>
        </w:rPr>
        <w:t>Section 8 of 13</w:t>
      </w:r>
    </w:p>
    <w:p>
      <w:pPr>
        <w:spacing w:after="40"/>
      </w:pPr>
      <w:r>
        <w:rPr>
          <w:b/>
          <w:color w:val="1A55F9"/>
          <w:sz w:val="44"/>
        </w:rPr>
        <w:t>Pricing Model</w:t>
      </w:r>
    </w:p>
    <w:p>
      <w:pPr>
        <w:spacing w:after="240"/>
      </w:pPr>
      <w:r>
        <w:rPr>
          <w:i/>
          <w:color w:val="6B7280"/>
          <w:sz w:val="19"/>
        </w:rPr>
        <w:t>Keysight Technologies . Agentic AI for SalesOps RFP Response . The Hackett Group on ZBrain . Response date 2026-05-11</w:t>
      </w:r>
    </w:p>
    <w:p>
      <w:pPr>
        <w:spacing w:after="80"/>
      </w:pPr>
      <w:r>
        <w:rPr>
          <w:b w:val="0"/>
          <w:i w:val="0"/>
          <w:sz w:val="21"/>
        </w:rPr>
        <w:t>Cost structure follows the RFP Pricing sheet template and the Q&amp;A pricing clarifications (items 36 through 43). Keysight asked for both a modular price per use case and a turnkey bundled price; both are provided in the accompanying Pricing schedule, with the bundling discount shown explicitly. Implementation cost is separated from ongoing or recurring cost per Keysight's stated preference (Q&amp;A item 37). The single table in 8.1 sets out every line; the subsections that follow explain what is and is not in each.</w:t>
      </w:r>
    </w:p>
    <w:p>
      <w:pPr>
        <w:pStyle w:val="Heading2"/>
        <w:spacing w:before="160" w:after="80"/>
      </w:pPr>
      <w:r>
        <w:rPr>
          <w:color w:val="131426"/>
        </w:rPr>
        <w:t>8.0 Pricing structure (modular and turnkey)</w:t>
      </w:r>
    </w:p>
    <w:p>
      <w:pPr>
        <w:pStyle w:val="ListBullet"/>
        <w:spacing w:after="40"/>
      </w:pPr>
      <w:r>
        <w:rPr>
          <w:sz w:val="21"/>
        </w:rPr>
        <w:t>Modular pricing per use case (Q&amp;A item 36): each of the seven RFP use cases is priced as a standalone implementation. Keysight can elect to engage on any subset (for example, Email Classification first, then Document Parsing, then Q2O preparation, then Post-Booking, then Service Order, then Delivery / Schedule), and the implementation can be staged accordingly.</w:t>
      </w:r>
    </w:p>
    <w:p>
      <w:pPr>
        <w:pStyle w:val="ListBullet"/>
        <w:spacing w:after="40"/>
      </w:pPr>
      <w:r>
        <w:rPr>
          <w:sz w:val="21"/>
        </w:rPr>
        <w:t>Turnkey bundle: the full seven-use-case engagement is priced as a single fixed-fee programme with a stated bundling discount over the sum of the modular prices. The discount is on the Pricing schedule's first page.</w:t>
      </w:r>
    </w:p>
    <w:p>
      <w:pPr>
        <w:pStyle w:val="ListBullet"/>
        <w:spacing w:after="40"/>
      </w:pPr>
      <w:r>
        <w:rPr>
          <w:sz w:val="21"/>
        </w:rPr>
        <w:t>Implementation separated from ongoing (Q&amp;A item 37): all front-loaded implementation, build, training, and hypercare costs are itemised under the Implementation section of the matrix. Ongoing platform subscription, support tiers, and pass-through consumption are itemised separately under Ongoing Support and Pass-Through.</w:t>
      </w:r>
    </w:p>
    <w:p>
      <w:pPr>
        <w:pStyle w:val="ListBullet"/>
        <w:spacing w:after="40"/>
      </w:pPr>
      <w:r>
        <w:rPr>
          <w:sz w:val="21"/>
        </w:rPr>
        <w:t>Final acceptance basis (Q&amp;A item 38): the turnkey programme is priced against a single final-acceptance milestone covering design, build, UAT, and production deploy. Per-sprint progress payments are available as an alternative payment schedule if Keysight prefers.</w:t>
      </w:r>
    </w:p>
    <w:p>
      <w:pPr>
        <w:pStyle w:val="ListBullet"/>
        <w:spacing w:after="40"/>
      </w:pPr>
      <w:r>
        <w:rPr>
          <w:sz w:val="21"/>
        </w:rPr>
        <w:t>Outcome-based pricing option (Q&amp;A item 41): Keysight indicated interest in outcome-based pricing. We have included an outcome-based variant in the schedule (priced per email correctly classified, per task completed end-to-end, and per multi-intent email decomposed) so Keysight can evaluate it alongside the consumption-based model.</w:t>
      </w:r>
    </w:p>
    <w:p>
      <w:pPr>
        <w:pStyle w:val="ListBullet"/>
        <w:spacing w:after="40"/>
      </w:pPr>
      <w:r>
        <w:rPr>
          <w:sz w:val="21"/>
        </w:rPr>
        <w:t>Audit and consumption transparency (Q&amp;A item 40): platform-bundled LLM tokens are stated explicitly (with the included models and the bundled-cost basis); separately-billed token consumption is invoiced monthly with a per-model rate sheet and a consumption audit trail Keysight can pull on demand.</w:t>
      </w:r>
    </w:p>
    <w:p>
      <w:pPr>
        <w:pStyle w:val="ListBullet"/>
        <w:spacing w:after="40"/>
      </w:pPr>
      <w:r>
        <w:rPr>
          <w:sz w:val="21"/>
        </w:rPr>
        <w:t>Worked examples at Keysight volumes (Q&amp;A item 39): the Pricing schedule includes worked Year 1, Year 2, and Year 3 examples sized to the Q&amp;A baseline (880K emails per year, 2,000 per day, email size one to twenty MB).</w:t>
      </w:r>
    </w:p>
    <w:p>
      <w:pPr>
        <w:pStyle w:val="ListBullet"/>
        <w:spacing w:after="40"/>
      </w:pPr>
      <w:r>
        <w:rPr>
          <w:sz w:val="21"/>
        </w:rPr>
        <w:t>No fixed pricing floor (Q&amp;A item 42): pricing is described in the format that best fits the model. Free-text explanation accompanies the structured rows.</w:t>
      </w:r>
    </w:p>
    <w:p>
      <w:pPr>
        <w:pStyle w:val="Heading2"/>
        <w:spacing w:before="160" w:after="80"/>
      </w:pPr>
      <w:r>
        <w:rPr>
          <w:color w:val="131426"/>
        </w:rPr>
        <w:t>8.1 Pricing matrix</w:t>
      </w:r>
    </w:p>
    <w:p>
      <w:pPr>
        <w:spacing w:after="80"/>
      </w:pPr>
      <w:r>
        <w:rPr>
          <w:b w:val="0"/>
          <w:i w:val="0"/>
          <w:sz w:val="21"/>
        </w:rPr>
        <w:t>All prices live in the accompanying Pricing schedule. The matrix below sets out each line of the price model, the unit of pricing, the frequency, and the dependency or scope note.</w:t>
      </w:r>
    </w:p>
    <w:tbl>
      <w:tblPr>
        <w:tblStyle w:val="LightGrid-Accent1"/>
        <w:tblW w:type="auto" w:w="0"/>
        <w:tblLook w:firstColumn="1" w:firstRow="1" w:lastColumn="0" w:lastRow="0" w:noHBand="0" w:noVBand="1" w:val="04A0"/>
      </w:tblPr>
      <w:tblGrid>
        <w:gridCol w:w="1973"/>
        <w:gridCol w:w="1973"/>
        <w:gridCol w:w="1973"/>
        <w:gridCol w:w="1973"/>
        <w:gridCol w:w="1973"/>
      </w:tblGrid>
      <w:tr>
        <w:tc>
          <w:tcPr>
            <w:tcW w:type="dxa" w:w="1973"/>
            <w:shd w:val="clear" w:color="auto" w:fill="1A55F9"/>
          </w:tcPr>
          <w:p>
            <w:r>
              <w:rPr>
                <w:b/>
                <w:color w:val="FFFFFF"/>
                <w:sz w:val="19"/>
              </w:rPr>
              <w:t>Category</w:t>
            </w:r>
          </w:p>
        </w:tc>
        <w:tc>
          <w:tcPr>
            <w:tcW w:type="dxa" w:w="1973"/>
            <w:shd w:val="clear" w:color="auto" w:fill="1A55F9"/>
          </w:tcPr>
          <w:p>
            <w:r>
              <w:rPr>
                <w:b/>
                <w:color w:val="FFFFFF"/>
                <w:sz w:val="19"/>
              </w:rPr>
              <w:t>Line item</w:t>
            </w:r>
          </w:p>
        </w:tc>
        <w:tc>
          <w:tcPr>
            <w:tcW w:type="dxa" w:w="1973"/>
            <w:shd w:val="clear" w:color="auto" w:fill="1A55F9"/>
          </w:tcPr>
          <w:p>
            <w:r>
              <w:rPr>
                <w:b/>
                <w:color w:val="FFFFFF"/>
                <w:sz w:val="19"/>
              </w:rPr>
              <w:t>Unit of pricing</w:t>
            </w:r>
          </w:p>
        </w:tc>
        <w:tc>
          <w:tcPr>
            <w:tcW w:type="dxa" w:w="1973"/>
            <w:shd w:val="clear" w:color="auto" w:fill="1A55F9"/>
          </w:tcPr>
          <w:p>
            <w:r>
              <w:rPr>
                <w:b/>
                <w:color w:val="FFFFFF"/>
                <w:sz w:val="19"/>
              </w:rPr>
              <w:t>Frequency</w:t>
            </w:r>
          </w:p>
        </w:tc>
        <w:tc>
          <w:tcPr>
            <w:tcW w:type="dxa" w:w="1973"/>
            <w:shd w:val="clear" w:color="auto" w:fill="1A55F9"/>
          </w:tcPr>
          <w:p>
            <w:r>
              <w:rPr>
                <w:b/>
                <w:color w:val="FFFFFF"/>
                <w:sz w:val="19"/>
              </w:rPr>
              <w:t>Notes / dependency</w:t>
            </w:r>
          </w:p>
        </w:tc>
      </w:tr>
      <w:tr>
        <w:tc>
          <w:tcPr>
            <w:tcW w:type="dxa" w:w="1973"/>
            <w:vAlign w:val="top"/>
          </w:tcPr>
          <w:p>
            <w:r>
              <w:rPr>
                <w:b/>
                <w:sz w:val="17"/>
              </w:rPr>
              <w:t>Platform Licensing</w:t>
            </w:r>
          </w:p>
        </w:tc>
        <w:tc>
          <w:tcPr>
            <w:tcW w:type="dxa" w:w="1973"/>
            <w:vAlign w:val="top"/>
          </w:tcPr>
          <w:p>
            <w:r>
              <w:rPr>
                <w:sz w:val="17"/>
              </w:rPr>
              <w:t>ZBrain Builder . core platform</w:t>
            </w:r>
          </w:p>
        </w:tc>
        <w:tc>
          <w:tcPr>
            <w:tcW w:type="dxa" w:w="1973"/>
            <w:vAlign w:val="top"/>
          </w:tcPr>
          <w:p>
            <w:r>
              <w:rPr>
                <w:sz w:val="17"/>
              </w:rPr>
              <w:t>Per tenant or per user</w:t>
            </w:r>
          </w:p>
        </w:tc>
        <w:tc>
          <w:tcPr>
            <w:tcW w:type="dxa" w:w="1973"/>
            <w:vAlign w:val="top"/>
          </w:tcPr>
          <w:p>
            <w:r>
              <w:rPr>
                <w:sz w:val="17"/>
              </w:rPr>
              <w:t>Annual</w:t>
            </w:r>
          </w:p>
        </w:tc>
        <w:tc>
          <w:tcPr>
            <w:tcW w:type="dxa" w:w="1973"/>
            <w:vAlign w:val="top"/>
          </w:tcPr>
          <w:p>
            <w:r>
              <w:rPr>
                <w:sz w:val="17"/>
              </w:rPr>
              <w:t>Choice of pricing basis at MSA. Modular: Knowledge Bases, Flows, Apps, Agents, Monitor, Guardrails priced independently if Keysight wants a subset.</w:t>
            </w:r>
          </w:p>
        </w:tc>
      </w:tr>
      <w:tr>
        <w:tc>
          <w:tcPr>
            <w:tcW w:type="dxa" w:w="1973"/>
            <w:vAlign w:val="top"/>
          </w:tcPr>
          <w:p>
            <w:r>
              <w:rPr>
                <w:b/>
                <w:sz w:val="17"/>
              </w:rPr>
            </w:r>
          </w:p>
        </w:tc>
        <w:tc>
          <w:tcPr>
            <w:tcW w:type="dxa" w:w="1973"/>
            <w:vAlign w:val="top"/>
          </w:tcPr>
          <w:p>
            <w:r>
              <w:rPr>
                <w:sz w:val="17"/>
              </w:rPr>
              <w:t>Additional environment(s) . Dev / UAT</w:t>
            </w:r>
          </w:p>
        </w:tc>
        <w:tc>
          <w:tcPr>
            <w:tcW w:type="dxa" w:w="1973"/>
            <w:vAlign w:val="top"/>
          </w:tcPr>
          <w:p>
            <w:r>
              <w:rPr>
                <w:sz w:val="17"/>
              </w:rPr>
              <w:t>Per environment</w:t>
            </w:r>
          </w:p>
        </w:tc>
        <w:tc>
          <w:tcPr>
            <w:tcW w:type="dxa" w:w="1973"/>
            <w:vAlign w:val="top"/>
          </w:tcPr>
          <w:p>
            <w:r>
              <w:rPr>
                <w:sz w:val="17"/>
              </w:rPr>
              <w:t>Annual</w:t>
            </w:r>
          </w:p>
        </w:tc>
        <w:tc>
          <w:tcPr>
            <w:tcW w:type="dxa" w:w="1973"/>
            <w:vAlign w:val="top"/>
          </w:tcPr>
          <w:p>
            <w:r>
              <w:rPr>
                <w:sz w:val="17"/>
              </w:rPr>
              <w:t>Production environment is included in the core licence. Dev and UAT priced per environment.</w:t>
            </w:r>
          </w:p>
        </w:tc>
      </w:tr>
      <w:tr>
        <w:tc>
          <w:tcPr>
            <w:tcW w:type="dxa" w:w="1973"/>
            <w:vAlign w:val="top"/>
          </w:tcPr>
          <w:p>
            <w:r>
              <w:rPr>
                <w:b/>
                <w:sz w:val="17"/>
              </w:rPr>
            </w:r>
          </w:p>
        </w:tc>
        <w:tc>
          <w:tcPr>
            <w:tcW w:type="dxa" w:w="1973"/>
            <w:vAlign w:val="top"/>
          </w:tcPr>
          <w:p>
            <w:r>
              <w:rPr>
                <w:sz w:val="17"/>
              </w:rPr>
              <w:t>Additional region or data residency</w:t>
            </w:r>
          </w:p>
        </w:tc>
        <w:tc>
          <w:tcPr>
            <w:tcW w:type="dxa" w:w="1973"/>
            <w:vAlign w:val="top"/>
          </w:tcPr>
          <w:p>
            <w:r>
              <w:rPr>
                <w:sz w:val="17"/>
              </w:rPr>
              <w:t>Per region</w:t>
            </w:r>
          </w:p>
        </w:tc>
        <w:tc>
          <w:tcPr>
            <w:tcW w:type="dxa" w:w="1973"/>
            <w:vAlign w:val="top"/>
          </w:tcPr>
          <w:p>
            <w:r>
              <w:rPr>
                <w:sz w:val="17"/>
              </w:rPr>
              <w:t>Annual</w:t>
            </w:r>
          </w:p>
        </w:tc>
        <w:tc>
          <w:tcPr>
            <w:tcW w:type="dxa" w:w="1973"/>
            <w:vAlign w:val="top"/>
          </w:tcPr>
          <w:p>
            <w:r>
              <w:rPr>
                <w:sz w:val="17"/>
              </w:rPr>
              <w:t>Per region beyond the primary deployment.</w:t>
            </w:r>
          </w:p>
        </w:tc>
      </w:tr>
      <w:tr>
        <w:tc>
          <w:tcPr>
            <w:tcW w:type="dxa" w:w="1973"/>
            <w:vAlign w:val="top"/>
          </w:tcPr>
          <w:p>
            <w:r>
              <w:rPr>
                <w:b/>
                <w:sz w:val="17"/>
              </w:rPr>
              <w:t>Implementation . Per Phase</w:t>
            </w:r>
          </w:p>
        </w:tc>
        <w:tc>
          <w:tcPr>
            <w:tcW w:type="dxa" w:w="1973"/>
            <w:vAlign w:val="top"/>
          </w:tcPr>
          <w:p>
            <w:r>
              <w:rPr>
                <w:sz w:val="17"/>
              </w:rPr>
              <w:t>Sprint 1 . Discovery (Weeks 1 to 2)</w:t>
            </w:r>
          </w:p>
        </w:tc>
        <w:tc>
          <w:tcPr>
            <w:tcW w:type="dxa" w:w="1973"/>
            <w:vAlign w:val="top"/>
          </w:tcPr>
          <w:p>
            <w:r>
              <w:rPr>
                <w:sz w:val="17"/>
              </w:rPr>
              <w:t>Fixed fee</w:t>
            </w:r>
          </w:p>
        </w:tc>
        <w:tc>
          <w:tcPr>
            <w:tcW w:type="dxa" w:w="1973"/>
            <w:vAlign w:val="top"/>
          </w:tcPr>
          <w:p>
            <w:r>
              <w:rPr>
                <w:sz w:val="17"/>
              </w:rPr>
              <w:t>One-time</w:t>
            </w:r>
          </w:p>
        </w:tc>
        <w:tc>
          <w:tcPr>
            <w:tcW w:type="dxa" w:w="1973"/>
            <w:vAlign w:val="top"/>
          </w:tcPr>
          <w:p>
            <w:r>
              <w:rPr>
                <w:sz w:val="17"/>
              </w:rPr>
              <w:t>Joint discovery with Keysight rule owners. Functional design sign-off.</w:t>
            </w:r>
          </w:p>
        </w:tc>
      </w:tr>
      <w:tr>
        <w:tc>
          <w:tcPr>
            <w:tcW w:type="dxa" w:w="1973"/>
            <w:vAlign w:val="top"/>
          </w:tcPr>
          <w:p>
            <w:r>
              <w:rPr>
                <w:b/>
                <w:sz w:val="17"/>
              </w:rPr>
            </w:r>
          </w:p>
        </w:tc>
        <w:tc>
          <w:tcPr>
            <w:tcW w:type="dxa" w:w="1973"/>
            <w:vAlign w:val="top"/>
          </w:tcPr>
          <w:p>
            <w:r>
              <w:rPr>
                <w:sz w:val="17"/>
              </w:rPr>
              <w:t>Sprint 2 . MVP Build, Use Cases 1 and 3 (Weeks 3 to 4)</w:t>
            </w:r>
          </w:p>
        </w:tc>
        <w:tc>
          <w:tcPr>
            <w:tcW w:type="dxa" w:w="1973"/>
            <w:vAlign w:val="top"/>
          </w:tcPr>
          <w:p>
            <w:r>
              <w:rPr>
                <w:sz w:val="17"/>
              </w:rPr>
              <w:t>Fixed fee</w:t>
            </w:r>
          </w:p>
        </w:tc>
        <w:tc>
          <w:tcPr>
            <w:tcW w:type="dxa" w:w="1973"/>
            <w:vAlign w:val="top"/>
          </w:tcPr>
          <w:p>
            <w:r>
              <w:rPr>
                <w:sz w:val="17"/>
              </w:rPr>
              <w:t>One-time</w:t>
            </w:r>
          </w:p>
        </w:tc>
        <w:tc>
          <w:tcPr>
            <w:tcW w:type="dxa" w:w="1973"/>
            <w:vAlign w:val="top"/>
          </w:tcPr>
          <w:p>
            <w:r>
              <w:rPr>
                <w:sz w:val="17"/>
              </w:rPr>
              <w:t>Trade Order Entry and SOM Work Order Automation end to end.</w:t>
            </w:r>
          </w:p>
        </w:tc>
      </w:tr>
      <w:tr>
        <w:tc>
          <w:tcPr>
            <w:tcW w:type="dxa" w:w="1973"/>
            <w:vAlign w:val="top"/>
          </w:tcPr>
          <w:p>
            <w:r>
              <w:rPr>
                <w:b/>
                <w:sz w:val="17"/>
              </w:rPr>
            </w:r>
          </w:p>
        </w:tc>
        <w:tc>
          <w:tcPr>
            <w:tcW w:type="dxa" w:w="1973"/>
            <w:vAlign w:val="top"/>
          </w:tcPr>
          <w:p>
            <w:r>
              <w:rPr>
                <w:sz w:val="17"/>
              </w:rPr>
              <w:t>Sprint 3 . MVP Build, Use Cases 2, 4, 5, 6, 7 (Weeks 5 to 6)</w:t>
            </w:r>
          </w:p>
        </w:tc>
        <w:tc>
          <w:tcPr>
            <w:tcW w:type="dxa" w:w="1973"/>
            <w:vAlign w:val="top"/>
          </w:tcPr>
          <w:p>
            <w:r>
              <w:rPr>
                <w:sz w:val="17"/>
              </w:rPr>
              <w:t>Fixed fee</w:t>
            </w:r>
          </w:p>
        </w:tc>
        <w:tc>
          <w:tcPr>
            <w:tcW w:type="dxa" w:w="1973"/>
            <w:vAlign w:val="top"/>
          </w:tcPr>
          <w:p>
            <w:r>
              <w:rPr>
                <w:sz w:val="17"/>
              </w:rPr>
              <w:t>One-time</w:t>
            </w:r>
          </w:p>
        </w:tc>
        <w:tc>
          <w:tcPr>
            <w:tcW w:type="dxa" w:w="1973"/>
            <w:vAlign w:val="top"/>
          </w:tcPr>
          <w:p>
            <w:r>
              <w:rPr>
                <w:sz w:val="17"/>
              </w:rPr>
              <w:t>Remaining five use cases end to end.</w:t>
            </w:r>
          </w:p>
        </w:tc>
      </w:tr>
      <w:tr>
        <w:tc>
          <w:tcPr>
            <w:tcW w:type="dxa" w:w="1973"/>
            <w:vAlign w:val="top"/>
          </w:tcPr>
          <w:p>
            <w:r>
              <w:rPr>
                <w:b/>
                <w:sz w:val="17"/>
              </w:rPr>
            </w:r>
          </w:p>
        </w:tc>
        <w:tc>
          <w:tcPr>
            <w:tcW w:type="dxa" w:w="1973"/>
            <w:vAlign w:val="top"/>
          </w:tcPr>
          <w:p>
            <w:r>
              <w:rPr>
                <w:sz w:val="17"/>
              </w:rPr>
              <w:t>Sprint 4 . Testing, Tuning, Cutover (Weeks 7 to 8)</w:t>
            </w:r>
          </w:p>
        </w:tc>
        <w:tc>
          <w:tcPr>
            <w:tcW w:type="dxa" w:w="1973"/>
            <w:vAlign w:val="top"/>
          </w:tcPr>
          <w:p>
            <w:r>
              <w:rPr>
                <w:sz w:val="17"/>
              </w:rPr>
              <w:t>Fixed fee</w:t>
            </w:r>
          </w:p>
        </w:tc>
        <w:tc>
          <w:tcPr>
            <w:tcW w:type="dxa" w:w="1973"/>
            <w:vAlign w:val="top"/>
          </w:tcPr>
          <w:p>
            <w:r>
              <w:rPr>
                <w:sz w:val="17"/>
              </w:rPr>
              <w:t>One-time</w:t>
            </w:r>
          </w:p>
        </w:tc>
        <w:tc>
          <w:tcPr>
            <w:tcW w:type="dxa" w:w="1973"/>
            <w:vAlign w:val="top"/>
          </w:tcPr>
          <w:p>
            <w:r>
              <w:rPr>
                <w:sz w:val="17"/>
              </w:rPr>
              <w:t>80 / 20 / 20 tuning, UAT, first mailbox cutover.</w:t>
            </w:r>
          </w:p>
        </w:tc>
      </w:tr>
      <w:tr>
        <w:tc>
          <w:tcPr>
            <w:tcW w:type="dxa" w:w="1973"/>
            <w:vAlign w:val="top"/>
          </w:tcPr>
          <w:p>
            <w:r>
              <w:rPr>
                <w:b/>
                <w:sz w:val="17"/>
              </w:rPr>
              <w:t>Implementation . Per Use Case</w:t>
            </w:r>
          </w:p>
        </w:tc>
        <w:tc>
          <w:tcPr>
            <w:tcW w:type="dxa" w:w="1973"/>
            <w:vAlign w:val="top"/>
          </w:tcPr>
          <w:p>
            <w:r>
              <w:rPr>
                <w:sz w:val="17"/>
              </w:rPr>
              <w:t>Use Case 1 . Trade Order Entry (PO Received)</w:t>
            </w:r>
          </w:p>
        </w:tc>
        <w:tc>
          <w:tcPr>
            <w:tcW w:type="dxa" w:w="1973"/>
            <w:vAlign w:val="top"/>
          </w:tcPr>
          <w:p>
            <w:r>
              <w:rPr>
                <w:sz w:val="17"/>
              </w:rPr>
              <w:t>Fixed fee</w:t>
            </w:r>
          </w:p>
        </w:tc>
        <w:tc>
          <w:tcPr>
            <w:tcW w:type="dxa" w:w="1973"/>
            <w:vAlign w:val="top"/>
          </w:tcPr>
          <w:p>
            <w:r>
              <w:rPr>
                <w:sz w:val="17"/>
              </w:rPr>
              <w:t>One-time</w:t>
            </w:r>
          </w:p>
        </w:tc>
        <w:tc>
          <w:tcPr>
            <w:tcW w:type="dxa" w:w="1973"/>
            <w:vAlign w:val="top"/>
          </w:tcPr>
          <w:p>
            <w:r>
              <w:rPr>
                <w:sz w:val="17"/>
              </w:rPr>
              <w:t>Detailed effort in the Pricing schedule.</w:t>
            </w:r>
          </w:p>
        </w:tc>
      </w:tr>
      <w:tr>
        <w:tc>
          <w:tcPr>
            <w:tcW w:type="dxa" w:w="1973"/>
            <w:vAlign w:val="top"/>
          </w:tcPr>
          <w:p>
            <w:r>
              <w:rPr>
                <w:b/>
                <w:sz w:val="17"/>
              </w:rPr>
            </w:r>
          </w:p>
        </w:tc>
        <w:tc>
          <w:tcPr>
            <w:tcW w:type="dxa" w:w="1973"/>
            <w:vAlign w:val="top"/>
          </w:tcPr>
          <w:p>
            <w:r>
              <w:rPr>
                <w:sz w:val="17"/>
              </w:rPr>
              <w:t>Use Case 2 . Trade Sales Change Order</w:t>
            </w:r>
          </w:p>
        </w:tc>
        <w:tc>
          <w:tcPr>
            <w:tcW w:type="dxa" w:w="1973"/>
            <w:vAlign w:val="top"/>
          </w:tcPr>
          <w:p>
            <w:r>
              <w:rPr>
                <w:sz w:val="17"/>
              </w:rPr>
              <w:t>Fixed fee</w:t>
            </w:r>
          </w:p>
        </w:tc>
        <w:tc>
          <w:tcPr>
            <w:tcW w:type="dxa" w:w="1973"/>
            <w:vAlign w:val="top"/>
          </w:tcPr>
          <w:p>
            <w:r>
              <w:rPr>
                <w:sz w:val="17"/>
              </w:rPr>
              <w:t>One-time</w:t>
            </w:r>
          </w:p>
        </w:tc>
        <w:tc>
          <w:tcPr>
            <w:tcW w:type="dxa" w:w="1973"/>
            <w:vAlign w:val="top"/>
          </w:tcPr>
          <w:p>
            <w:r>
              <w:rPr>
                <w:sz w:val="17"/>
              </w:rPr>
              <w:t>Detailed effort in the Pricing schedule.</w:t>
            </w:r>
          </w:p>
        </w:tc>
      </w:tr>
      <w:tr>
        <w:tc>
          <w:tcPr>
            <w:tcW w:type="dxa" w:w="1973"/>
            <w:vAlign w:val="top"/>
          </w:tcPr>
          <w:p>
            <w:r>
              <w:rPr>
                <w:b/>
                <w:sz w:val="17"/>
              </w:rPr>
            </w:r>
          </w:p>
        </w:tc>
        <w:tc>
          <w:tcPr>
            <w:tcW w:type="dxa" w:w="1973"/>
            <w:vAlign w:val="top"/>
          </w:tcPr>
          <w:p>
            <w:r>
              <w:rPr>
                <w:sz w:val="17"/>
              </w:rPr>
              <w:t>Use Case 3 . SOM Work Order Automation</w:t>
            </w:r>
          </w:p>
        </w:tc>
        <w:tc>
          <w:tcPr>
            <w:tcW w:type="dxa" w:w="1973"/>
            <w:vAlign w:val="top"/>
          </w:tcPr>
          <w:p>
            <w:r>
              <w:rPr>
                <w:sz w:val="17"/>
              </w:rPr>
              <w:t>Fixed fee</w:t>
            </w:r>
          </w:p>
        </w:tc>
        <w:tc>
          <w:tcPr>
            <w:tcW w:type="dxa" w:w="1973"/>
            <w:vAlign w:val="top"/>
          </w:tcPr>
          <w:p>
            <w:r>
              <w:rPr>
                <w:sz w:val="17"/>
              </w:rPr>
              <w:t>One-time</w:t>
            </w:r>
          </w:p>
        </w:tc>
        <w:tc>
          <w:tcPr>
            <w:tcW w:type="dxa" w:w="1973"/>
            <w:vAlign w:val="top"/>
          </w:tcPr>
          <w:p>
            <w:r>
              <w:rPr>
                <w:sz w:val="17"/>
              </w:rPr>
              <w:t>Detailed effort in the Pricing schedule.</w:t>
            </w:r>
          </w:p>
        </w:tc>
      </w:tr>
      <w:tr>
        <w:tc>
          <w:tcPr>
            <w:tcW w:type="dxa" w:w="1973"/>
            <w:vAlign w:val="top"/>
          </w:tcPr>
          <w:p>
            <w:r>
              <w:rPr>
                <w:b/>
                <w:sz w:val="17"/>
              </w:rPr>
            </w:r>
          </w:p>
        </w:tc>
        <w:tc>
          <w:tcPr>
            <w:tcW w:type="dxa" w:w="1973"/>
            <w:vAlign w:val="top"/>
          </w:tcPr>
          <w:p>
            <w:r>
              <w:rPr>
                <w:sz w:val="17"/>
              </w:rPr>
              <w:t>Use Case 4 . SOM WO Update</w:t>
            </w:r>
          </w:p>
        </w:tc>
        <w:tc>
          <w:tcPr>
            <w:tcW w:type="dxa" w:w="1973"/>
            <w:vAlign w:val="top"/>
          </w:tcPr>
          <w:p>
            <w:r>
              <w:rPr>
                <w:sz w:val="17"/>
              </w:rPr>
              <w:t>Fixed fee</w:t>
            </w:r>
          </w:p>
        </w:tc>
        <w:tc>
          <w:tcPr>
            <w:tcW w:type="dxa" w:w="1973"/>
            <w:vAlign w:val="top"/>
          </w:tcPr>
          <w:p>
            <w:r>
              <w:rPr>
                <w:sz w:val="17"/>
              </w:rPr>
              <w:t>One-time</w:t>
            </w:r>
          </w:p>
        </w:tc>
        <w:tc>
          <w:tcPr>
            <w:tcW w:type="dxa" w:w="1973"/>
            <w:vAlign w:val="top"/>
          </w:tcPr>
          <w:p>
            <w:r>
              <w:rPr>
                <w:sz w:val="17"/>
              </w:rPr>
              <w:t>Detailed effort in the Pricing schedule.</w:t>
            </w:r>
          </w:p>
        </w:tc>
      </w:tr>
      <w:tr>
        <w:tc>
          <w:tcPr>
            <w:tcW w:type="dxa" w:w="1973"/>
            <w:vAlign w:val="top"/>
          </w:tcPr>
          <w:p>
            <w:r>
              <w:rPr>
                <w:b/>
                <w:sz w:val="17"/>
              </w:rPr>
            </w:r>
          </w:p>
        </w:tc>
        <w:tc>
          <w:tcPr>
            <w:tcW w:type="dxa" w:w="1973"/>
            <w:vAlign w:val="top"/>
          </w:tcPr>
          <w:p>
            <w:r>
              <w:rPr>
                <w:sz w:val="17"/>
              </w:rPr>
              <w:t>Use Case 5 . WO Status and Inquiry</w:t>
            </w:r>
          </w:p>
        </w:tc>
        <w:tc>
          <w:tcPr>
            <w:tcW w:type="dxa" w:w="1973"/>
            <w:vAlign w:val="top"/>
          </w:tcPr>
          <w:p>
            <w:r>
              <w:rPr>
                <w:sz w:val="17"/>
              </w:rPr>
              <w:t>Fixed fee</w:t>
            </w:r>
          </w:p>
        </w:tc>
        <w:tc>
          <w:tcPr>
            <w:tcW w:type="dxa" w:w="1973"/>
            <w:vAlign w:val="top"/>
          </w:tcPr>
          <w:p>
            <w:r>
              <w:rPr>
                <w:sz w:val="17"/>
              </w:rPr>
              <w:t>One-time</w:t>
            </w:r>
          </w:p>
        </w:tc>
        <w:tc>
          <w:tcPr>
            <w:tcW w:type="dxa" w:w="1973"/>
            <w:vAlign w:val="top"/>
          </w:tcPr>
          <w:p>
            <w:r>
              <w:rPr>
                <w:sz w:val="17"/>
              </w:rPr>
              <w:t>Detailed effort in the Pricing schedule.</w:t>
            </w:r>
          </w:p>
        </w:tc>
      </w:tr>
      <w:tr>
        <w:tc>
          <w:tcPr>
            <w:tcW w:type="dxa" w:w="1973"/>
            <w:vAlign w:val="top"/>
          </w:tcPr>
          <w:p>
            <w:r>
              <w:rPr>
                <w:b/>
                <w:sz w:val="17"/>
              </w:rPr>
            </w:r>
          </w:p>
        </w:tc>
        <w:tc>
          <w:tcPr>
            <w:tcW w:type="dxa" w:w="1973"/>
            <w:vAlign w:val="top"/>
          </w:tcPr>
          <w:p>
            <w:r>
              <w:rPr>
                <w:sz w:val="17"/>
              </w:rPr>
              <w:t>Use Case 6 . Service Contracts</w:t>
            </w:r>
          </w:p>
        </w:tc>
        <w:tc>
          <w:tcPr>
            <w:tcW w:type="dxa" w:w="1973"/>
            <w:vAlign w:val="top"/>
          </w:tcPr>
          <w:p>
            <w:r>
              <w:rPr>
                <w:sz w:val="17"/>
              </w:rPr>
              <w:t>Fixed fee</w:t>
            </w:r>
          </w:p>
        </w:tc>
        <w:tc>
          <w:tcPr>
            <w:tcW w:type="dxa" w:w="1973"/>
            <w:vAlign w:val="top"/>
          </w:tcPr>
          <w:p>
            <w:r>
              <w:rPr>
                <w:sz w:val="17"/>
              </w:rPr>
              <w:t>One-time</w:t>
            </w:r>
          </w:p>
        </w:tc>
        <w:tc>
          <w:tcPr>
            <w:tcW w:type="dxa" w:w="1973"/>
            <w:vAlign w:val="top"/>
          </w:tcPr>
          <w:p>
            <w:r>
              <w:rPr>
                <w:sz w:val="17"/>
              </w:rPr>
              <w:t>Detailed effort in the Pricing schedule.</w:t>
            </w:r>
          </w:p>
        </w:tc>
      </w:tr>
      <w:tr>
        <w:tc>
          <w:tcPr>
            <w:tcW w:type="dxa" w:w="1973"/>
            <w:vAlign w:val="top"/>
          </w:tcPr>
          <w:p>
            <w:r>
              <w:rPr>
                <w:b/>
                <w:sz w:val="17"/>
              </w:rPr>
            </w:r>
          </w:p>
        </w:tc>
        <w:tc>
          <w:tcPr>
            <w:tcW w:type="dxa" w:w="1973"/>
            <w:vAlign w:val="top"/>
          </w:tcPr>
          <w:p>
            <w:r>
              <w:rPr>
                <w:sz w:val="17"/>
              </w:rPr>
              <w:t>Use Case 7 . SSD Change Request</w:t>
            </w:r>
          </w:p>
        </w:tc>
        <w:tc>
          <w:tcPr>
            <w:tcW w:type="dxa" w:w="1973"/>
            <w:vAlign w:val="top"/>
          </w:tcPr>
          <w:p>
            <w:r>
              <w:rPr>
                <w:sz w:val="17"/>
              </w:rPr>
              <w:t>Fixed fee</w:t>
            </w:r>
          </w:p>
        </w:tc>
        <w:tc>
          <w:tcPr>
            <w:tcW w:type="dxa" w:w="1973"/>
            <w:vAlign w:val="top"/>
          </w:tcPr>
          <w:p>
            <w:r>
              <w:rPr>
                <w:sz w:val="17"/>
              </w:rPr>
              <w:t>One-time</w:t>
            </w:r>
          </w:p>
        </w:tc>
        <w:tc>
          <w:tcPr>
            <w:tcW w:type="dxa" w:w="1973"/>
            <w:vAlign w:val="top"/>
          </w:tcPr>
          <w:p>
            <w:r>
              <w:rPr>
                <w:sz w:val="17"/>
              </w:rPr>
              <w:t>Detailed effort in the Pricing schedule.</w:t>
            </w:r>
          </w:p>
        </w:tc>
      </w:tr>
      <w:tr>
        <w:tc>
          <w:tcPr>
            <w:tcW w:type="dxa" w:w="1973"/>
            <w:vAlign w:val="top"/>
          </w:tcPr>
          <w:p>
            <w:r>
              <w:rPr>
                <w:b/>
                <w:sz w:val="17"/>
              </w:rPr>
              <w:t>Hypercare</w:t>
            </w:r>
          </w:p>
        </w:tc>
        <w:tc>
          <w:tcPr>
            <w:tcW w:type="dxa" w:w="1973"/>
            <w:vAlign w:val="top"/>
          </w:tcPr>
          <w:p>
            <w:r>
              <w:rPr>
                <w:sz w:val="17"/>
              </w:rPr>
              <w:t>Weeks 9 to 12 (first three months post go-live)</w:t>
            </w:r>
          </w:p>
        </w:tc>
        <w:tc>
          <w:tcPr>
            <w:tcW w:type="dxa" w:w="1973"/>
            <w:vAlign w:val="top"/>
          </w:tcPr>
          <w:p>
            <w:r>
              <w:rPr>
                <w:sz w:val="17"/>
              </w:rPr>
              <w:t>Fixed fee</w:t>
            </w:r>
          </w:p>
        </w:tc>
        <w:tc>
          <w:tcPr>
            <w:tcW w:type="dxa" w:w="1973"/>
            <w:vAlign w:val="top"/>
          </w:tcPr>
          <w:p>
            <w:r>
              <w:rPr>
                <w:sz w:val="17"/>
              </w:rPr>
              <w:t>One-time</w:t>
            </w:r>
          </w:p>
        </w:tc>
        <w:tc>
          <w:tcPr>
            <w:tcW w:type="dxa" w:w="1973"/>
            <w:vAlign w:val="top"/>
          </w:tcPr>
          <w:p>
            <w:r>
              <w:rPr>
                <w:sz w:val="17"/>
              </w:rPr>
              <w:t>Included in implementation. Team and coverage defined in the Team Composition document.</w:t>
            </w:r>
          </w:p>
        </w:tc>
      </w:tr>
      <w:tr>
        <w:tc>
          <w:tcPr>
            <w:tcW w:type="dxa" w:w="1973"/>
            <w:vAlign w:val="top"/>
          </w:tcPr>
          <w:p>
            <w:r>
              <w:rPr>
                <w:b/>
                <w:sz w:val="17"/>
              </w:rPr>
              <w:t>Ongoing Support</w:t>
            </w:r>
          </w:p>
        </w:tc>
        <w:tc>
          <w:tcPr>
            <w:tcW w:type="dxa" w:w="1973"/>
            <w:vAlign w:val="top"/>
          </w:tcPr>
          <w:p>
            <w:r>
              <w:rPr>
                <w:sz w:val="17"/>
              </w:rPr>
              <w:t>Tier 1 (L1) . monitoring and alert triage</w:t>
            </w:r>
          </w:p>
        </w:tc>
        <w:tc>
          <w:tcPr>
            <w:tcW w:type="dxa" w:w="1973"/>
            <w:vAlign w:val="top"/>
          </w:tcPr>
          <w:p>
            <w:r>
              <w:rPr>
                <w:sz w:val="17"/>
              </w:rPr>
              <w:t>Per agent per month</w:t>
            </w:r>
          </w:p>
        </w:tc>
        <w:tc>
          <w:tcPr>
            <w:tcW w:type="dxa" w:w="1973"/>
            <w:vAlign w:val="top"/>
          </w:tcPr>
          <w:p>
            <w:r>
              <w:rPr>
                <w:sz w:val="17"/>
              </w:rPr>
              <w:t>Monthly</w:t>
            </w:r>
          </w:p>
        </w:tc>
        <w:tc>
          <w:tcPr>
            <w:tcW w:type="dxa" w:w="1973"/>
            <w:vAlign w:val="top"/>
          </w:tcPr>
          <w:p>
            <w:r>
              <w:rPr>
                <w:sz w:val="17"/>
              </w:rPr>
              <w:t>Keysight business hours. Scales with deployed agent count.</w:t>
            </w:r>
          </w:p>
        </w:tc>
      </w:tr>
      <w:tr>
        <w:tc>
          <w:tcPr>
            <w:tcW w:type="dxa" w:w="1973"/>
            <w:vAlign w:val="top"/>
          </w:tcPr>
          <w:p>
            <w:r>
              <w:rPr>
                <w:b/>
                <w:sz w:val="17"/>
              </w:rPr>
            </w:r>
          </w:p>
        </w:tc>
        <w:tc>
          <w:tcPr>
            <w:tcW w:type="dxa" w:w="1973"/>
            <w:vAlign w:val="top"/>
          </w:tcPr>
          <w:p>
            <w:r>
              <w:rPr>
                <w:sz w:val="17"/>
              </w:rPr>
              <w:t>Tier 2 (L2) . KB updates, integration fixes</w:t>
            </w:r>
          </w:p>
        </w:tc>
        <w:tc>
          <w:tcPr>
            <w:tcW w:type="dxa" w:w="1973"/>
            <w:vAlign w:val="top"/>
          </w:tcPr>
          <w:p>
            <w:r>
              <w:rPr>
                <w:sz w:val="17"/>
              </w:rPr>
              <w:t>Per agent per month</w:t>
            </w:r>
          </w:p>
        </w:tc>
        <w:tc>
          <w:tcPr>
            <w:tcW w:type="dxa" w:w="1973"/>
            <w:vAlign w:val="top"/>
          </w:tcPr>
          <w:p>
            <w:r>
              <w:rPr>
                <w:sz w:val="17"/>
              </w:rPr>
              <w:t>Monthly</w:t>
            </w:r>
          </w:p>
        </w:tc>
        <w:tc>
          <w:tcPr>
            <w:tcW w:type="dxa" w:w="1973"/>
            <w:vAlign w:val="top"/>
          </w:tcPr>
          <w:p>
            <w:r>
              <w:rPr>
                <w:sz w:val="17"/>
              </w:rPr>
              <w:t>Keysight business hours.</w:t>
            </w:r>
          </w:p>
        </w:tc>
      </w:tr>
      <w:tr>
        <w:tc>
          <w:tcPr>
            <w:tcW w:type="dxa" w:w="1973"/>
            <w:vAlign w:val="top"/>
          </w:tcPr>
          <w:p>
            <w:r>
              <w:rPr>
                <w:b/>
                <w:sz w:val="17"/>
              </w:rPr>
            </w:r>
          </w:p>
        </w:tc>
        <w:tc>
          <w:tcPr>
            <w:tcW w:type="dxa" w:w="1973"/>
            <w:vAlign w:val="top"/>
          </w:tcPr>
          <w:p>
            <w:r>
              <w:rPr>
                <w:sz w:val="17"/>
              </w:rPr>
              <w:t>Tier 3 (L3) . architecture, model changes, critical incidents</w:t>
            </w:r>
          </w:p>
        </w:tc>
        <w:tc>
          <w:tcPr>
            <w:tcW w:type="dxa" w:w="1973"/>
            <w:vAlign w:val="top"/>
          </w:tcPr>
          <w:p>
            <w:r>
              <w:rPr>
                <w:sz w:val="17"/>
              </w:rPr>
              <w:t>Per agent per month</w:t>
            </w:r>
          </w:p>
        </w:tc>
        <w:tc>
          <w:tcPr>
            <w:tcW w:type="dxa" w:w="1973"/>
            <w:vAlign w:val="top"/>
          </w:tcPr>
          <w:p>
            <w:r>
              <w:rPr>
                <w:sz w:val="17"/>
              </w:rPr>
              <w:t>Monthly</w:t>
            </w:r>
          </w:p>
        </w:tc>
        <w:tc>
          <w:tcPr>
            <w:tcW w:type="dxa" w:w="1973"/>
            <w:vAlign w:val="top"/>
          </w:tcPr>
          <w:p>
            <w:r>
              <w:rPr>
                <w:sz w:val="17"/>
              </w:rPr>
              <w:t>On-call 24 x 7 for critical incidents.</w:t>
            </w:r>
          </w:p>
        </w:tc>
      </w:tr>
      <w:tr>
        <w:tc>
          <w:tcPr>
            <w:tcW w:type="dxa" w:w="1973"/>
            <w:vAlign w:val="top"/>
          </w:tcPr>
          <w:p>
            <w:r>
              <w:rPr>
                <w:b/>
                <w:sz w:val="17"/>
              </w:rPr>
            </w:r>
          </w:p>
        </w:tc>
        <w:tc>
          <w:tcPr>
            <w:tcW w:type="dxa" w:w="1973"/>
            <w:vAlign w:val="top"/>
          </w:tcPr>
          <w:p>
            <w:r>
              <w:rPr>
                <w:sz w:val="17"/>
              </w:rPr>
              <w:t>Account Manager</w:t>
            </w:r>
          </w:p>
        </w:tc>
        <w:tc>
          <w:tcPr>
            <w:tcW w:type="dxa" w:w="1973"/>
            <w:vAlign w:val="top"/>
          </w:tcPr>
          <w:p>
            <w:r>
              <w:rPr>
                <w:sz w:val="17"/>
              </w:rPr>
              <w:t>Flat fee</w:t>
            </w:r>
          </w:p>
        </w:tc>
        <w:tc>
          <w:tcPr>
            <w:tcW w:type="dxa" w:w="1973"/>
            <w:vAlign w:val="top"/>
          </w:tcPr>
          <w:p>
            <w:r>
              <w:rPr>
                <w:sz w:val="17"/>
              </w:rPr>
              <w:t>Monthly</w:t>
            </w:r>
          </w:p>
        </w:tc>
        <w:tc>
          <w:tcPr>
            <w:tcW w:type="dxa" w:w="1973"/>
            <w:vAlign w:val="top"/>
          </w:tcPr>
          <w:p>
            <w:r>
              <w:rPr>
                <w:sz w:val="17"/>
              </w:rPr>
              <w:t>Named contact. Monthly business review.</w:t>
            </w:r>
          </w:p>
        </w:tc>
      </w:tr>
      <w:tr>
        <w:tc>
          <w:tcPr>
            <w:tcW w:type="dxa" w:w="1973"/>
            <w:vAlign w:val="top"/>
          </w:tcPr>
          <w:p>
            <w:r>
              <w:rPr>
                <w:b/>
                <w:sz w:val="17"/>
              </w:rPr>
              <w:t>Pass-Through . Infrastructure</w:t>
            </w:r>
          </w:p>
        </w:tc>
        <w:tc>
          <w:tcPr>
            <w:tcW w:type="dxa" w:w="1973"/>
            <w:vAlign w:val="top"/>
          </w:tcPr>
          <w:p>
            <w:r>
              <w:rPr>
                <w:sz w:val="17"/>
              </w:rPr>
              <w:t>AWS account consumption (compute, storage, queueing, networking)</w:t>
            </w:r>
          </w:p>
        </w:tc>
        <w:tc>
          <w:tcPr>
            <w:tcW w:type="dxa" w:w="1973"/>
            <w:vAlign w:val="top"/>
          </w:tcPr>
          <w:p>
            <w:r>
              <w:rPr>
                <w:sz w:val="17"/>
              </w:rPr>
              <w:t>Pass-through, at cost</w:t>
            </w:r>
          </w:p>
        </w:tc>
        <w:tc>
          <w:tcPr>
            <w:tcW w:type="dxa" w:w="1973"/>
            <w:vAlign w:val="top"/>
          </w:tcPr>
          <w:p>
            <w:r>
              <w:rPr>
                <w:sz w:val="17"/>
              </w:rPr>
              <w:t>Monthly</w:t>
            </w:r>
          </w:p>
        </w:tc>
        <w:tc>
          <w:tcPr>
            <w:tcW w:type="dxa" w:w="1973"/>
            <w:vAlign w:val="top"/>
          </w:tcPr>
          <w:p>
            <w:r>
              <w:rPr>
                <w:sz w:val="17"/>
              </w:rPr>
              <w:t>Billed direct to Keysight by AWS. Includes ECS Fargate, EC2, RDS, DocumentDB, ElastiCache, S3, CloudFront, MQ, ALB, and supporting services.</w:t>
            </w:r>
          </w:p>
        </w:tc>
      </w:tr>
      <w:tr>
        <w:tc>
          <w:tcPr>
            <w:tcW w:type="dxa" w:w="1973"/>
            <w:vAlign w:val="top"/>
          </w:tcPr>
          <w:p>
            <w:r>
              <w:rPr>
                <w:b/>
                <w:sz w:val="17"/>
              </w:rPr>
              <w:t>Pass-Through . LLM</w:t>
            </w:r>
          </w:p>
        </w:tc>
        <w:tc>
          <w:tcPr>
            <w:tcW w:type="dxa" w:w="1973"/>
            <w:vAlign w:val="top"/>
          </w:tcPr>
          <w:p>
            <w:r>
              <w:rPr>
                <w:sz w:val="17"/>
              </w:rPr>
              <w:t>Frontier model token consumption</w:t>
            </w:r>
          </w:p>
        </w:tc>
        <w:tc>
          <w:tcPr>
            <w:tcW w:type="dxa" w:w="1973"/>
            <w:vAlign w:val="top"/>
          </w:tcPr>
          <w:p>
            <w:r>
              <w:rPr>
                <w:sz w:val="17"/>
              </w:rPr>
              <w:t>Pass-through, at cost or cost-plus</w:t>
            </w:r>
          </w:p>
        </w:tc>
        <w:tc>
          <w:tcPr>
            <w:tcW w:type="dxa" w:w="1973"/>
            <w:vAlign w:val="top"/>
          </w:tcPr>
          <w:p>
            <w:r>
              <w:rPr>
                <w:sz w:val="17"/>
              </w:rPr>
              <w:t>Monthly</w:t>
            </w:r>
          </w:p>
        </w:tc>
        <w:tc>
          <w:tcPr>
            <w:tcW w:type="dxa" w:w="1973"/>
            <w:vAlign w:val="top"/>
          </w:tcPr>
          <w:p>
            <w:r>
              <w:rPr>
                <w:sz w:val="17"/>
              </w:rPr>
              <w:t>Keysight may hold the provider contract directly (pass-through at cost) or The Hackett Group holds it (cost-plus a small operational margin).</w:t>
            </w:r>
          </w:p>
        </w:tc>
      </w:tr>
      <w:tr>
        <w:tc>
          <w:tcPr>
            <w:tcW w:type="dxa" w:w="1973"/>
            <w:vAlign w:val="top"/>
          </w:tcPr>
          <w:p>
            <w:r>
              <w:rPr>
                <w:b/>
                <w:sz w:val="17"/>
              </w:rPr>
              <w:t>Optional Services</w:t>
            </w:r>
          </w:p>
        </w:tc>
        <w:tc>
          <w:tcPr>
            <w:tcW w:type="dxa" w:w="1973"/>
            <w:vAlign w:val="top"/>
          </w:tcPr>
          <w:p>
            <w:r>
              <w:rPr>
                <w:sz w:val="17"/>
              </w:rPr>
              <w:t>Additional mailbox cutover (beyond first)</w:t>
            </w:r>
          </w:p>
        </w:tc>
        <w:tc>
          <w:tcPr>
            <w:tcW w:type="dxa" w:w="1973"/>
            <w:vAlign w:val="top"/>
          </w:tcPr>
          <w:p>
            <w:r>
              <w:rPr>
                <w:sz w:val="17"/>
              </w:rPr>
              <w:t>Per mailbox</w:t>
            </w:r>
          </w:p>
        </w:tc>
        <w:tc>
          <w:tcPr>
            <w:tcW w:type="dxa" w:w="1973"/>
            <w:vAlign w:val="top"/>
          </w:tcPr>
          <w:p>
            <w:r>
              <w:rPr>
                <w:sz w:val="17"/>
              </w:rPr>
              <w:t>Per cutover</w:t>
            </w:r>
          </w:p>
        </w:tc>
        <w:tc>
          <w:tcPr>
            <w:tcW w:type="dxa" w:w="1973"/>
            <w:vAlign w:val="top"/>
          </w:tcPr>
          <w:p>
            <w:r>
              <w:rPr>
                <w:sz w:val="17"/>
              </w:rPr>
              <w:t>Mailbox onboarded post the initial production cutover.</w:t>
            </w:r>
          </w:p>
        </w:tc>
      </w:tr>
      <w:tr>
        <w:tc>
          <w:tcPr>
            <w:tcW w:type="dxa" w:w="1973"/>
            <w:vAlign w:val="top"/>
          </w:tcPr>
          <w:p>
            <w:r>
              <w:rPr>
                <w:b/>
                <w:sz w:val="17"/>
              </w:rPr>
            </w:r>
          </w:p>
        </w:tc>
        <w:tc>
          <w:tcPr>
            <w:tcW w:type="dxa" w:w="1973"/>
            <w:vAlign w:val="top"/>
          </w:tcPr>
          <w:p>
            <w:r>
              <w:rPr>
                <w:sz w:val="17"/>
              </w:rPr>
              <w:t>Additional language pack</w:t>
            </w:r>
          </w:p>
        </w:tc>
        <w:tc>
          <w:tcPr>
            <w:tcW w:type="dxa" w:w="1973"/>
            <w:vAlign w:val="top"/>
          </w:tcPr>
          <w:p>
            <w:r>
              <w:rPr>
                <w:sz w:val="17"/>
              </w:rPr>
              <w:t>Per language</w:t>
            </w:r>
          </w:p>
        </w:tc>
        <w:tc>
          <w:tcPr>
            <w:tcW w:type="dxa" w:w="1973"/>
            <w:vAlign w:val="top"/>
          </w:tcPr>
          <w:p>
            <w:r>
              <w:rPr>
                <w:sz w:val="17"/>
              </w:rPr>
              <w:t>One-time</w:t>
            </w:r>
          </w:p>
        </w:tc>
        <w:tc>
          <w:tcPr>
            <w:tcW w:type="dxa" w:w="1973"/>
            <w:vAlign w:val="top"/>
          </w:tcPr>
          <w:p>
            <w:r>
              <w:rPr>
                <w:sz w:val="17"/>
              </w:rPr>
              <w:t>Languages beyond the RFP-named sixteen.</w:t>
            </w:r>
          </w:p>
        </w:tc>
      </w:tr>
      <w:tr>
        <w:tc>
          <w:tcPr>
            <w:tcW w:type="dxa" w:w="1973"/>
            <w:vAlign w:val="top"/>
          </w:tcPr>
          <w:p>
            <w:r>
              <w:rPr>
                <w:b/>
                <w:sz w:val="17"/>
              </w:rPr>
            </w:r>
          </w:p>
        </w:tc>
        <w:tc>
          <w:tcPr>
            <w:tcW w:type="dxa" w:w="1973"/>
            <w:vAlign w:val="top"/>
          </w:tcPr>
          <w:p>
            <w:r>
              <w:rPr>
                <w:sz w:val="17"/>
              </w:rPr>
              <w:t>New use case (beyond the RFP seven)</w:t>
            </w:r>
          </w:p>
        </w:tc>
        <w:tc>
          <w:tcPr>
            <w:tcW w:type="dxa" w:w="1973"/>
            <w:vAlign w:val="top"/>
          </w:tcPr>
          <w:p>
            <w:r>
              <w:rPr>
                <w:sz w:val="17"/>
              </w:rPr>
              <w:t>Fixed fee</w:t>
            </w:r>
          </w:p>
        </w:tc>
        <w:tc>
          <w:tcPr>
            <w:tcW w:type="dxa" w:w="1973"/>
            <w:vAlign w:val="top"/>
          </w:tcPr>
          <w:p>
            <w:r>
              <w:rPr>
                <w:sz w:val="17"/>
              </w:rPr>
              <w:t>Per use case</w:t>
            </w:r>
          </w:p>
        </w:tc>
        <w:tc>
          <w:tcPr>
            <w:tcW w:type="dxa" w:w="1973"/>
            <w:vAlign w:val="top"/>
          </w:tcPr>
          <w:p>
            <w:r>
              <w:rPr>
                <w:sz w:val="17"/>
              </w:rPr>
              <w:t>Scope, effort, and acceptance criteria defined at change request.</w:t>
            </w:r>
          </w:p>
        </w:tc>
      </w:tr>
      <w:tr>
        <w:tc>
          <w:tcPr>
            <w:tcW w:type="dxa" w:w="1973"/>
            <w:vAlign w:val="top"/>
          </w:tcPr>
          <w:p>
            <w:r>
              <w:rPr>
                <w:b/>
                <w:sz w:val="17"/>
              </w:rPr>
            </w:r>
          </w:p>
        </w:tc>
        <w:tc>
          <w:tcPr>
            <w:tcW w:type="dxa" w:w="1973"/>
            <w:vAlign w:val="top"/>
          </w:tcPr>
          <w:p>
            <w:r>
              <w:rPr>
                <w:sz w:val="17"/>
              </w:rPr>
              <w:t>Extended SLA . 24 x 7 follow-the-sun</w:t>
            </w:r>
          </w:p>
        </w:tc>
        <w:tc>
          <w:tcPr>
            <w:tcW w:type="dxa" w:w="1973"/>
            <w:vAlign w:val="top"/>
          </w:tcPr>
          <w:p>
            <w:r>
              <w:rPr>
                <w:sz w:val="17"/>
              </w:rPr>
              <w:t>Uplift on ongoing support</w:t>
            </w:r>
          </w:p>
        </w:tc>
        <w:tc>
          <w:tcPr>
            <w:tcW w:type="dxa" w:w="1973"/>
            <w:vAlign w:val="top"/>
          </w:tcPr>
          <w:p>
            <w:r>
              <w:rPr>
                <w:sz w:val="17"/>
              </w:rPr>
              <w:t>Monthly</w:t>
            </w:r>
          </w:p>
        </w:tc>
        <w:tc>
          <w:tcPr>
            <w:tcW w:type="dxa" w:w="1973"/>
            <w:vAlign w:val="top"/>
          </w:tcPr>
          <w:p>
            <w:r>
              <w:rPr>
                <w:sz w:val="17"/>
              </w:rPr>
              <w:t>Available for the deployed agent count.</w:t>
            </w:r>
          </w:p>
        </w:tc>
      </w:tr>
    </w:tbl>
    <w:p>
      <w:pPr>
        <w:pStyle w:val="Heading2"/>
        <w:spacing w:before="160" w:after="80"/>
      </w:pPr>
      <w:r>
        <w:rPr>
          <w:color w:val="131426"/>
        </w:rPr>
        <w:t>8.2 What sits inside implementation cost</w:t>
      </w:r>
    </w:p>
    <w:p>
      <w:pPr>
        <w:pStyle w:val="ListBullet"/>
        <w:spacing w:after="40"/>
      </w:pPr>
      <w:r>
        <w:rPr>
          <w:sz w:val="21"/>
        </w:rPr>
        <w:t>Sprint 1 Discovery: joint discovery with Keysight rule owners, environment provisioning, knowledge-base seeding, Version 1 alignment against Keysight inbox patterns.</w:t>
      </w:r>
    </w:p>
    <w:p>
      <w:pPr>
        <w:pStyle w:val="ListBullet"/>
        <w:spacing w:after="40"/>
      </w:pPr>
      <w:r>
        <w:rPr>
          <w:sz w:val="21"/>
        </w:rPr>
        <w:t>Sprints 2 and 3 Build: adapting Version 1 to your data and rule book across all seven use cases with the full sub-case catalogue.</w:t>
      </w:r>
    </w:p>
    <w:p>
      <w:pPr>
        <w:pStyle w:val="ListBullet"/>
        <w:spacing w:after="40"/>
      </w:pPr>
      <w:r>
        <w:rPr>
          <w:sz w:val="21"/>
        </w:rPr>
        <w:t>Sprint 4 Testing and Cutover: 60 / 20 / 20 train / validation / test tuning, stress test, UAT, first mailbox cutover.</w:t>
      </w:r>
    </w:p>
    <w:p>
      <w:pPr>
        <w:pStyle w:val="ListBullet"/>
        <w:spacing w:after="40"/>
      </w:pPr>
      <w:r>
        <w:rPr>
          <w:sz w:val="21"/>
        </w:rPr>
        <w:t>Integrations: Salesforce, Outlook through Microsoft Graph plus IMAP and SMTP, and use of the Jitterbit channel Keysight provides to Oracle EBS and Docunet. ServiceNow-side integration work is on the Keysight dev team and is not in our scope.</w:t>
      </w:r>
    </w:p>
    <w:p>
      <w:pPr>
        <w:pStyle w:val="ListBullet"/>
        <w:spacing w:after="40"/>
      </w:pPr>
      <w:r>
        <w:rPr>
          <w:sz w:val="21"/>
        </w:rPr>
        <w:t>Knowledge transfer: operator training, administrator training, builder training, run-book.</w:t>
      </w:r>
    </w:p>
    <w:p>
      <w:pPr>
        <w:pStyle w:val="ListBullet"/>
        <w:spacing w:after="40"/>
      </w:pPr>
      <w:r>
        <w:rPr>
          <w:sz w:val="21"/>
        </w:rPr>
        <w:t>Hypercare (Weeks 9 to 12): first three months post go-live, with the team and coverage defined in the Team Composition document.</w:t>
      </w:r>
    </w:p>
    <w:p>
      <w:pPr>
        <w:pStyle w:val="Heading2"/>
        <w:spacing w:before="160" w:after="80"/>
      </w:pPr>
      <w:r>
        <w:rPr>
          <w:color w:val="131426"/>
        </w:rPr>
        <w:t>8.3 What sits outside implementation cost</w:t>
      </w:r>
    </w:p>
    <w:p>
      <w:pPr>
        <w:pStyle w:val="ListBullet"/>
        <w:spacing w:after="40"/>
      </w:pPr>
      <w:r>
        <w:rPr>
          <w:sz w:val="21"/>
        </w:rPr>
        <w:t>Additional mailbox cutovers beyond the first one. Priced per mailbox as a small fixed fee or rolled into ongoing support.</w:t>
      </w:r>
    </w:p>
    <w:p>
      <w:pPr>
        <w:pStyle w:val="ListBullet"/>
        <w:spacing w:after="40"/>
      </w:pPr>
      <w:r>
        <w:rPr>
          <w:sz w:val="21"/>
        </w:rPr>
        <w:t>New use cases beyond the seven named in the RFP. Treated as change requests with defined scope, effort, and acceptance criteria.</w:t>
      </w:r>
    </w:p>
    <w:p>
      <w:pPr>
        <w:pStyle w:val="ListBullet"/>
        <w:spacing w:after="40"/>
      </w:pPr>
      <w:r>
        <w:rPr>
          <w:sz w:val="21"/>
        </w:rPr>
        <w:t>Azure consumption. Billed direct to Keysight by Microsoft.</w:t>
      </w:r>
    </w:p>
    <w:p>
      <w:pPr>
        <w:pStyle w:val="ListBullet"/>
        <w:spacing w:after="40"/>
      </w:pPr>
      <w:r>
        <w:rPr>
          <w:sz w:val="21"/>
        </w:rPr>
        <w:t>LLM consumption where Keysight holds the provider contract directly.</w:t>
      </w:r>
    </w:p>
    <w:p>
      <w:pPr>
        <w:pStyle w:val="ListBullet"/>
        <w:spacing w:after="40"/>
      </w:pPr>
      <w:r>
        <w:rPr>
          <w:sz w:val="21"/>
        </w:rPr>
        <w:t>Material scope changes signed off by the steering committee under change control.</w:t>
      </w:r>
    </w:p>
    <w:p>
      <w:pPr>
        <w:pStyle w:val="Heading2"/>
        <w:spacing w:before="160" w:after="80"/>
      </w:pPr>
      <w:r>
        <w:rPr>
          <w:color w:val="131426"/>
        </w:rPr>
        <w:t>8.4 Payment terms</w:t>
      </w:r>
    </w:p>
    <w:p>
      <w:pPr>
        <w:pStyle w:val="ListBullet"/>
        <w:spacing w:after="40"/>
      </w:pPr>
      <w:r>
        <w:rPr>
          <w:sz w:val="21"/>
        </w:rPr>
        <w:t>Milestone-based against per-sprint acceptance signed by Keysight rule owners.</w:t>
      </w:r>
    </w:p>
    <w:p>
      <w:pPr>
        <w:pStyle w:val="ListBullet"/>
        <w:spacing w:after="40"/>
      </w:pPr>
      <w:r>
        <w:rPr>
          <w:sz w:val="21"/>
        </w:rPr>
        <w:t>Discovery deposit at MSA signature.</w:t>
      </w:r>
    </w:p>
    <w:p>
      <w:pPr>
        <w:pStyle w:val="ListBullet"/>
        <w:spacing w:after="40"/>
      </w:pPr>
      <w:r>
        <w:rPr>
          <w:sz w:val="21"/>
        </w:rPr>
        <w:t>Net 30 against acceptance certificate.</w:t>
      </w:r>
    </w:p>
    <w:p>
      <w:pPr>
        <w:pStyle w:val="ListBullet"/>
        <w:spacing w:after="40"/>
      </w:pPr>
      <w:r>
        <w:rPr>
          <w:sz w:val="21"/>
        </w:rPr>
        <w:t>Hypercare invoiced monthly during Weeks 9 to 12, included in the implementation price.</w:t>
      </w:r>
    </w:p>
    <w:p>
      <w:pPr>
        <w:pStyle w:val="ListBullet"/>
        <w:spacing w:after="40"/>
      </w:pPr>
      <w:r>
        <w:rPr>
          <w:sz w:val="21"/>
        </w:rPr>
        <w:t>Ongoing support invoiced monthly from Week 13 onward.</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