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10 of 13</w:t>
      </w:r>
    </w:p>
    <w:p>
      <w:pPr>
        <w:spacing w:after="40"/>
      </w:pPr>
      <w:r>
        <w:rPr>
          <w:b/>
          <w:color w:val="1A55F9"/>
          <w:sz w:val="44"/>
        </w:rPr>
        <w:t>Security and Governance</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Security and governance are designed in from the beginning, not added at the end. The model has two tiers: enterprise-level governance that aligns with Keysight's existing enterprise tooling (today, Microsoft for SSO and RBAC, AWS as the cloud standard, Cloudflare for any internet-exposed agents, per Q&amp;A item 55), and application-level governance per agent, delivered by the ZBrain Governance and Monitor modules running inside Keysight's own AWS deployment under the hybrid build-and-deploy model.</w:t>
      </w:r>
    </w:p>
    <w:p>
      <w:pPr>
        <w:spacing w:after="80"/>
      </w:pPr>
      <w:r>
        <w:rPr>
          <w:b w:val="0"/>
          <w:i/>
          <w:sz w:val="21"/>
        </w:rPr>
        <w:t>Per Q&amp;A item 55, Keysight does not operate a Purview-equivalent enterprise AI governance fabric today. The model below describes what the ZBrain Governance module delivers at deployment, and how the surface integrates with enterprise governance tooling as Keysight adopts it.</w:t>
      </w:r>
    </w:p>
    <w:p>
      <w:pPr>
        <w:pStyle w:val="Heading2"/>
        <w:spacing w:before="160" w:after="80"/>
      </w:pPr>
      <w:r>
        <w:rPr>
          <w:color w:val="131426"/>
        </w:rPr>
        <w:t>10.1 Enterprise-level governance</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Identity (Microsoft Azure AD)</w:t>
            </w:r>
          </w:p>
        </w:tc>
        <w:tc>
          <w:tcPr>
            <w:tcW w:type="dxa" w:w="4933"/>
            <w:vAlign w:val="top"/>
          </w:tcPr>
          <w:p>
            <w:r>
              <w:rPr>
                <w:sz w:val="20"/>
              </w:rPr>
              <w:t>Per Q&amp;A item 55, Keysight uses Microsoft tooling for SSO and RBAC. Azure AD provides single sign-on for the HITL portal, the Knowledge Base authoring screens, and the ZBrain Governance and Analytics screen, with conditional-access policies on risky operations (KB rule promotion, A/B candidate promotion, manual override of a low-confidence decision, force-publish of a customer reply).</w:t>
            </w:r>
          </w:p>
        </w:tc>
      </w:tr>
      <w:tr>
        <w:tc>
          <w:tcPr>
            <w:tcW w:type="dxa" w:w="4933"/>
            <w:vAlign w:val="top"/>
          </w:tcPr>
          <w:p>
            <w:r>
              <w:rPr>
                <w:sz w:val="20"/>
              </w:rPr>
              <w:t>Cloud (AWS standard)</w:t>
            </w:r>
          </w:p>
        </w:tc>
        <w:tc>
          <w:tcPr>
            <w:tcW w:type="dxa" w:w="4933"/>
            <w:vAlign w:val="top"/>
          </w:tcPr>
          <w:p>
            <w:r>
              <w:rPr>
                <w:sz w:val="20"/>
              </w:rPr>
              <w:t>Per Q&amp;A item 55, AWS is the Keysight cloud standard. Under the hybrid build-and-deploy model, the production solution is deployed onto Keysight's own AWS account. ZBrain Solution Builder runs separately on the Hackett platform tenancy for design and build; the deployed runtime runs entirely inside Keysight's AWS. AWS IAM enforces service-level access for the AWS resources behind the ZBrain services in Keysight's account; AWS Secrets Manager holds every external credential; AWS CloudWatch, Inspector, and Security Hub provide cloud-level observability and compliance signal.</w:t>
            </w:r>
          </w:p>
        </w:tc>
      </w:tr>
      <w:tr>
        <w:tc>
          <w:tcPr>
            <w:tcW w:type="dxa" w:w="4933"/>
            <w:vAlign w:val="top"/>
          </w:tcPr>
          <w:p>
            <w:r>
              <w:rPr>
                <w:sz w:val="20"/>
              </w:rPr>
              <w:t>Internet edge (Cloudflare)</w:t>
            </w:r>
          </w:p>
        </w:tc>
        <w:tc>
          <w:tcPr>
            <w:tcW w:type="dxa" w:w="4933"/>
            <w:vAlign w:val="top"/>
          </w:tcPr>
          <w:p>
            <w:r>
              <w:rPr>
                <w:sz w:val="20"/>
              </w:rPr>
              <w:t>Per Q&amp;A item 55, Cloudflare is used for any internet-exposed agents at Keysight. The solution's external surfaces (HITL portal, Knowledge Base authoring screens, Governance and Analytics screen, and any internet-facing webhook used for inbound integrations) inherit Cloudflare's edge controls (WAF, DDoS, bot management, mTLS where required).</w:t>
            </w:r>
          </w:p>
        </w:tc>
      </w:tr>
      <w:tr>
        <w:tc>
          <w:tcPr>
            <w:tcW w:type="dxa" w:w="4933"/>
            <w:vAlign w:val="top"/>
          </w:tcPr>
          <w:p>
            <w:r>
              <w:rPr>
                <w:sz w:val="20"/>
              </w:rPr>
              <w:t>Audit forwarding</w:t>
            </w:r>
          </w:p>
        </w:tc>
        <w:tc>
          <w:tcPr>
            <w:tcW w:type="dxa" w:w="4933"/>
            <w:vAlign w:val="top"/>
          </w:tcPr>
          <w:p>
            <w:r>
              <w:rPr>
                <w:sz w:val="20"/>
              </w:rPr>
              <w:t>Every classification, extraction, decision gate, external write, and customer-facing draft is logged with a per-email reference and forwarded to the SIEM Keysight already operates. Retention is approximately ten years per Q&amp;A item 45, which is the audit requirement Keysight has named.</w:t>
            </w:r>
          </w:p>
        </w:tc>
      </w:tr>
      <w:tr>
        <w:tc>
          <w:tcPr>
            <w:tcW w:type="dxa" w:w="4933"/>
            <w:vAlign w:val="top"/>
          </w:tcPr>
          <w:p>
            <w:r>
              <w:rPr>
                <w:sz w:val="20"/>
              </w:rPr>
              <w:t>Data classification</w:t>
            </w:r>
          </w:p>
        </w:tc>
        <w:tc>
          <w:tcPr>
            <w:tcW w:type="dxa" w:w="4933"/>
            <w:vAlign w:val="top"/>
          </w:tcPr>
          <w:p>
            <w:r>
              <w:rPr>
                <w:sz w:val="20"/>
              </w:rPr>
              <w:t>Inbound mail and extracted fields tagged by sensitivity. KSO and restricted-customer content is tagged before the AI reads the body, per 10.3 below.</w:t>
            </w:r>
          </w:p>
        </w:tc>
      </w:tr>
      <w:tr>
        <w:tc>
          <w:tcPr>
            <w:tcW w:type="dxa" w:w="4933"/>
            <w:vAlign w:val="top"/>
          </w:tcPr>
          <w:p>
            <w:r>
              <w:rPr>
                <w:sz w:val="20"/>
              </w:rPr>
              <w:t>Enterprise governance roadmap</w:t>
            </w:r>
          </w:p>
        </w:tc>
        <w:tc>
          <w:tcPr>
            <w:tcW w:type="dxa" w:w="4933"/>
            <w:vAlign w:val="top"/>
          </w:tcPr>
          <w:p>
            <w:r>
              <w:rPr>
                <w:sz w:val="20"/>
              </w:rPr>
              <w:t>As Keysight adopts an enterprise AI governance fabric (Purview-equivalent), the ZBrain Governance module exposes the integration points needed (agent registration, data-class export, policy-decision-point hooks). The integration scope is agreed jointly with Keysight's governance team at Functional Design and revisited at the quarterly business review.</w:t>
            </w:r>
          </w:p>
        </w:tc>
      </w:tr>
    </w:tbl>
    <w:p>
      <w:pPr>
        <w:pStyle w:val="Heading2"/>
        <w:spacing w:before="160" w:after="80"/>
      </w:pPr>
      <w:r>
        <w:rPr>
          <w:color w:val="131426"/>
        </w:rPr>
        <w:t>10.2 Application-level governance per agent (ZBrain Governance and Monitor modules)</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Role-based access control</w:t>
            </w:r>
          </w:p>
        </w:tc>
        <w:tc>
          <w:tcPr>
            <w:tcW w:type="dxa" w:w="4933"/>
            <w:vAlign w:val="top"/>
          </w:tcPr>
          <w:p>
            <w:r>
              <w:rPr>
                <w:sz w:val="20"/>
              </w:rPr>
              <w:t>Privilege rings per agent in the ZBrain Governance module. Operators see what they need; rule owners can edit knowledge bases; builders can deploy new agents; auditors get read-only with export. No one role carries end-to-end privilege by default.</w:t>
            </w:r>
          </w:p>
        </w:tc>
      </w:tr>
      <w:tr>
        <w:tc>
          <w:tcPr>
            <w:tcW w:type="dxa" w:w="4933"/>
            <w:vAlign w:val="top"/>
          </w:tcPr>
          <w:p>
            <w:r>
              <w:rPr>
                <w:sz w:val="20"/>
              </w:rPr>
              <w:t>Service-level objectives</w:t>
            </w:r>
          </w:p>
        </w:tc>
        <w:tc>
          <w:tcPr>
            <w:tcW w:type="dxa" w:w="4933"/>
            <w:vAlign w:val="top"/>
          </w:tcPr>
          <w:p>
            <w:r>
              <w:rPr>
                <w:sz w:val="20"/>
              </w:rPr>
              <w:t>Each agent ships with a written SLO in the Monitor module covering accuracy, latency, automation rate, and human-in-the-loop service level. SLOs are monitored continuously; deviations trigger alerts in the Governance and Analytics screen.</w:t>
            </w:r>
          </w:p>
        </w:tc>
      </w:tr>
      <w:tr>
        <w:tc>
          <w:tcPr>
            <w:tcW w:type="dxa" w:w="4933"/>
            <w:vAlign w:val="top"/>
          </w:tcPr>
          <w:p>
            <w:r>
              <w:rPr>
                <w:sz w:val="20"/>
              </w:rPr>
              <w:t>Circuit-breaker policies</w:t>
            </w:r>
          </w:p>
        </w:tc>
        <w:tc>
          <w:tcPr>
            <w:tcW w:type="dxa" w:w="4933"/>
            <w:vAlign w:val="top"/>
          </w:tcPr>
          <w:p>
            <w:r>
              <w:rPr>
                <w:sz w:val="20"/>
              </w:rPr>
              <w:t>Each agent has automated pause thresholds. If classification accuracy falls below the SLO floor, or the HITL rate spikes above an upper bound, the agent pauses auto-action for the affected segment and routes everything to CSR review until a rule owner clears the issue. The breaker is segment-aware (per region, per language, per intent) so a regional anomaly does not shut down the global pipeline.</w:t>
            </w:r>
          </w:p>
        </w:tc>
      </w:tr>
      <w:tr>
        <w:tc>
          <w:tcPr>
            <w:tcW w:type="dxa" w:w="4933"/>
            <w:vAlign w:val="top"/>
          </w:tcPr>
          <w:p>
            <w:r>
              <w:rPr>
                <w:sz w:val="20"/>
              </w:rPr>
              <w:t>Tool access controls</w:t>
            </w:r>
          </w:p>
        </w:tc>
        <w:tc>
          <w:tcPr>
            <w:tcW w:type="dxa" w:w="4933"/>
            <w:vAlign w:val="top"/>
          </w:tcPr>
          <w:p>
            <w:r>
              <w:rPr>
                <w:sz w:val="20"/>
              </w:rPr>
              <w:t>Agents are allow-listed for the external tools they may call (Salesforce, Jitterbit which carries Oracle EBS and DocuNet, Microsoft Graph for Outlook). ServiceNow-side integration is owned by Keysight's dev team. New tool additions require a Governance-module review.</w:t>
            </w:r>
          </w:p>
        </w:tc>
      </w:tr>
      <w:tr>
        <w:tc>
          <w:tcPr>
            <w:tcW w:type="dxa" w:w="4933"/>
            <w:vAlign w:val="top"/>
          </w:tcPr>
          <w:p>
            <w:r>
              <w:rPr>
                <w:sz w:val="20"/>
              </w:rPr>
              <w:t>Prompt-injection defences</w:t>
            </w:r>
          </w:p>
        </w:tc>
        <w:tc>
          <w:tcPr>
            <w:tcW w:type="dxa" w:w="4933"/>
            <w:vAlign w:val="top"/>
          </w:tcPr>
          <w:p>
            <w:r>
              <w:rPr>
                <w:sz w:val="20"/>
              </w:rPr>
              <w:t>Inbound content is filtered for known prompt-injection patterns before it reaches the AI. The reasoning path is bounded to the operational rule book; the AI cannot be talked into executing actions outside its scope.</w:t>
            </w:r>
          </w:p>
        </w:tc>
      </w:tr>
      <w:tr>
        <w:tc>
          <w:tcPr>
            <w:tcW w:type="dxa" w:w="4933"/>
            <w:vAlign w:val="top"/>
          </w:tcPr>
          <w:p>
            <w:r>
              <w:rPr>
                <w:sz w:val="20"/>
              </w:rPr>
              <w:t>Change control and rollback</w:t>
            </w:r>
          </w:p>
        </w:tc>
        <w:tc>
          <w:tcPr>
            <w:tcW w:type="dxa" w:w="4933"/>
            <w:vAlign w:val="top"/>
          </w:tcPr>
          <w:p>
            <w:r>
              <w:rPr>
                <w:sz w:val="20"/>
              </w:rPr>
              <w:t>Every promoted change in the Governance and Analytics screen (KB edit, A/B promotion, rule-book update, threshold adjustment, model swap) carries version history, named-owner attribution, and one-click rollback. The change log is exported to Keysight's audit retention nightly.</w:t>
            </w:r>
          </w:p>
        </w:tc>
      </w:tr>
    </w:tbl>
    <w:p>
      <w:pPr>
        <w:pStyle w:val="Heading2"/>
        <w:spacing w:before="160" w:after="80"/>
      </w:pPr>
      <w:r>
        <w:rPr>
          <w:color w:val="131426"/>
        </w:rPr>
        <w:t>10.3 Citizenship-based access and KSO routing</w:t>
      </w:r>
    </w:p>
    <w:p>
      <w:pPr>
        <w:spacing w:after="80"/>
      </w:pPr>
      <w:r>
        <w:rPr>
          <w:b w:val="0"/>
          <w:i w:val="0"/>
          <w:sz w:val="21"/>
        </w:rPr>
        <w:t>Q&amp;A item 25 sets the rule: emails from US-government customers must be readable only by US-citizen reviewers, and non-US-citizen access must be blocked across model inference, logging, replay, and any vendor support staff with system access. The solution implements this end to end.</w:t>
      </w:r>
    </w:p>
    <w:p>
      <w:pPr>
        <w:pStyle w:val="ListBullet"/>
        <w:spacing w:after="40"/>
      </w:pPr>
      <w:r>
        <w:rPr>
          <w:sz w:val="21"/>
        </w:rPr>
        <w:t>At the mailbox door, the KSO routing rule fires before any AI reads the body. The decision is deterministic and based on sender domain and body-keyword signals already documented in Keysight's existing Outlook rules. The redirect is logged immutably for compliance audit.</w:t>
      </w:r>
    </w:p>
    <w:p>
      <w:pPr>
        <w:pStyle w:val="ListBullet"/>
        <w:spacing w:after="40"/>
      </w:pPr>
      <w:r>
        <w:rPr>
          <w:sz w:val="21"/>
        </w:rPr>
        <w:t>Inside the platform, restricted-customer email is tagged with a citizenship-restricted classification at ingress. The tag travels with the email reference through every stage.</w:t>
      </w:r>
    </w:p>
    <w:p>
      <w:pPr>
        <w:pStyle w:val="ListBullet"/>
        <w:spacing w:after="40"/>
      </w:pPr>
      <w:r>
        <w:rPr>
          <w:sz w:val="21"/>
        </w:rPr>
        <w:t>Reasoning paths: the model inference call for a citizenship-restricted email is constrained to a US-resident inference endpoint, with the request audit-logged including the inference region and the model identifier.</w:t>
      </w:r>
    </w:p>
    <w:p>
      <w:pPr>
        <w:pStyle w:val="ListBullet"/>
        <w:spacing w:after="40"/>
      </w:pPr>
      <w:r>
        <w:rPr>
          <w:sz w:val="21"/>
        </w:rPr>
        <w:t>Logging: structured logs and trace data for citizenship-restricted emails are written to a separate index with RBAC restricted to US-citizen operators and auditors only. The standard log index does not receive a copy.</w:t>
      </w:r>
    </w:p>
    <w:p>
      <w:pPr>
        <w:pStyle w:val="ListBullet"/>
        <w:spacing w:after="40"/>
      </w:pPr>
      <w:r>
        <w:rPr>
          <w:sz w:val="21"/>
        </w:rPr>
        <w:t>Replay: the comparison-mode replay path (used for A/B candidate evaluation) refuses to replay citizenship-restricted emails outside the US-citizen access boundary. The candidate is evaluated only on the non-restricted slice or, where Keysight authorises, only by US-citizen operators inside the restricted index.</w:t>
      </w:r>
    </w:p>
    <w:p>
      <w:pPr>
        <w:pStyle w:val="ListBullet"/>
        <w:spacing w:after="40"/>
      </w:pPr>
      <w:r>
        <w:rPr>
          <w:sz w:val="21"/>
        </w:rPr>
        <w:t>Vendor support: any Hackett support engineer accessing citizenship-restricted data must hold US citizenship; access is provisioned through the Governance module's restricted role, with every access event logged. Access requests are reviewed and approved by Keysight before being granted.</w:t>
      </w:r>
    </w:p>
    <w:p>
      <w:pPr>
        <w:pStyle w:val="Heading2"/>
        <w:spacing w:before="160" w:after="80"/>
      </w:pPr>
      <w:r>
        <w:rPr>
          <w:color w:val="131426"/>
        </w:rPr>
        <w:t>10.4 Data security</w:t>
      </w:r>
    </w:p>
    <w:p>
      <w:pPr>
        <w:pStyle w:val="ListBullet"/>
        <w:spacing w:after="40"/>
      </w:pPr>
      <w:r>
        <w:rPr>
          <w:sz w:val="21"/>
        </w:rPr>
        <w:t>Encryption at rest and in transit by default. Modern cipher suites only. AWS KMS managed keys, with customer-managed keys available for workloads that require Keysight-controlled cryptographic material.</w:t>
      </w:r>
    </w:p>
    <w:p>
      <w:pPr>
        <w:pStyle w:val="ListBullet"/>
        <w:spacing w:after="40"/>
      </w:pPr>
      <w:r>
        <w:rPr>
          <w:sz w:val="21"/>
        </w:rPr>
        <w:t>Data masking in non-production environments. UAT and dev environments never see production customer content; representative synthetic data is used.</w:t>
      </w:r>
    </w:p>
    <w:p>
      <w:pPr>
        <w:pStyle w:val="ListBullet"/>
        <w:spacing w:after="40"/>
      </w:pPr>
      <w:r>
        <w:rPr>
          <w:sz w:val="21"/>
        </w:rPr>
        <w:t>Data residency by region. Keysight picks the deployment region per regulatory requirement; cross-region transfer is explicit and audited.</w:t>
      </w:r>
    </w:p>
    <w:p>
      <w:pPr>
        <w:pStyle w:val="ListBullet"/>
        <w:spacing w:after="40"/>
      </w:pPr>
      <w:r>
        <w:rPr>
          <w:sz w:val="21"/>
        </w:rPr>
        <w:t>Right-to-erasure and right-to-access endpoints available for regulatory data-subject requests.</w:t>
      </w:r>
    </w:p>
    <w:p>
      <w:pPr>
        <w:pStyle w:val="ListBullet"/>
        <w:spacing w:after="40"/>
      </w:pPr>
      <w:r>
        <w:rPr>
          <w:sz w:val="21"/>
        </w:rPr>
        <w:t>Data retention: approximately ten years per Q&amp;A item 45. The retention policy is enforced by the Governance module against the audit store and the SIEM export; expiry is automatic.</w:t>
      </w:r>
    </w:p>
    <w:p>
      <w:pPr>
        <w:pStyle w:val="Heading2"/>
        <w:spacing w:before="160" w:after="80"/>
      </w:pPr>
      <w:r>
        <w:rPr>
          <w:color w:val="131426"/>
        </w:rPr>
        <w:t>10.5 Audit trail</w:t>
      </w:r>
    </w:p>
    <w:p>
      <w:pPr>
        <w:spacing w:after="80"/>
      </w:pPr>
      <w:r>
        <w:rPr>
          <w:b w:val="0"/>
          <w:i w:val="0"/>
          <w:sz w:val="21"/>
        </w:rPr>
        <w:t>Every inbound email produces a complete audit trail with a single reference identifier. The trail records every reading, every extracted field with the source attachment reference, every decision gate score, every external write (Salesforce, plus the Jitterbit calls to Oracle EBS and DocuNet), every customer-facing draft, and every CSR-driven change. The trail is immutable, append-only, exported to the SIEM Keysight operates, and retained for the ten-year audit window named in Q&amp;A item 45.</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