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color w:val="6B7280"/>
          <w:sz w:val="22"/>
        </w:rPr>
        <w:t>Section 11 of 13</w:t>
      </w:r>
    </w:p>
    <w:p>
      <w:pPr>
        <w:spacing w:after="40"/>
      </w:pPr>
      <w:r>
        <w:rPr>
          <w:b/>
          <w:color w:val="1A55F9"/>
          <w:sz w:val="44"/>
        </w:rPr>
        <w:t>References</w:t>
      </w:r>
    </w:p>
    <w:p>
      <w:pPr>
        <w:spacing w:after="240"/>
      </w:pPr>
      <w:r>
        <w:rPr>
          <w:i/>
          <w:color w:val="6B7280"/>
          <w:sz w:val="19"/>
        </w:rPr>
        <w:t>Keysight Technologies . Agentic AI for SalesOps RFP Response . The Hackett Group on ZBrain . Response date 2026-05-11</w:t>
      </w:r>
    </w:p>
    <w:p>
      <w:pPr>
        <w:pStyle w:val="Heading2"/>
        <w:spacing w:before="160" w:after="80"/>
      </w:pPr>
      <w:r>
        <w:rPr>
          <w:color w:val="131426"/>
        </w:rPr>
        <w:t>11.1 Prior Keysight engagement</w:t>
      </w:r>
    </w:p>
    <w:p>
      <w:pPr>
        <w:spacing w:after="80"/>
      </w:pPr>
      <w:r>
        <w:rPr>
          <w:b w:val="0"/>
          <w:i w:val="0"/>
          <w:sz w:val="21"/>
        </w:rPr>
        <w:t>The Hackett Group has previously delivered a POC engagement for Keysight on the ZBrain platform covering the upstream classification pattern, the multi-format attachment handling, and the operational-rule-book interpretation. The engineers from that engagement are part of the proposed MVP delivery team, so institutional context is preserved into the production build phase.</w:t>
      </w:r>
    </w:p>
    <w:p>
      <w:pPr>
        <w:pStyle w:val="Heading2"/>
        <w:spacing w:before="160" w:after="80"/>
      </w:pPr>
      <w:r>
        <w:rPr>
          <w:color w:val="131426"/>
        </w:rPr>
        <w:t>11.2 Comparable implementations</w:t>
      </w:r>
    </w:p>
    <w:p>
      <w:pPr>
        <w:spacing w:after="80"/>
      </w:pPr>
      <w:r>
        <w:rPr>
          <w:b w:val="0"/>
          <w:i w:val="0"/>
          <w:sz w:val="21"/>
        </w:rPr>
        <w:t>Per Q&amp;A item 34, Keysight's reference criteria are explicit: references must be in a similar domain (semiconductor, industrial test, or comparable high-tech vertical) AND for sales-operations or order-management use cases. Reference calls focus on this use case only and are not used to cover the vendor's broader platform footprint at the reference customer. Other Keysight teams (for example supply chain or services) are not on the same reference call.</w:t>
      </w:r>
    </w:p>
    <w:p>
      <w:pPr>
        <w:spacing w:after="80"/>
      </w:pPr>
      <w:r>
        <w:rPr>
          <w:b w:val="0"/>
          <w:i w:val="0"/>
          <w:sz w:val="21"/>
        </w:rPr>
        <w:t>We hold references that match both halves of the criteria, available under NDA at the vendor capability review stage:</w:t>
      </w:r>
    </w:p>
    <w:p>
      <w:pPr>
        <w:pStyle w:val="ListBullet"/>
        <w:spacing w:after="40"/>
      </w:pPr>
      <w:r>
        <w:rPr>
          <w:sz w:val="21"/>
        </w:rPr>
        <w:t>Sales-operations and order-management email automation at semiconductor or industrial-test vendors with comparable annual volume and integration footprint.</w:t>
      </w:r>
    </w:p>
    <w:p>
      <w:pPr>
        <w:pStyle w:val="ListBullet"/>
        <w:spacing w:after="40"/>
      </w:pPr>
      <w:r>
        <w:rPr>
          <w:sz w:val="21"/>
        </w:rPr>
        <w:t>Document-intelligence implementations in the same domain involving structured extraction from multi-format attachments (PDF, Word, Excel, image, embedded inbox items).</w:t>
      </w:r>
    </w:p>
    <w:p>
      <w:pPr>
        <w:pStyle w:val="ListBullet"/>
        <w:spacing w:after="40"/>
      </w:pPr>
      <w:r>
        <w:rPr>
          <w:sz w:val="21"/>
        </w:rPr>
        <w:t>Multi-language customer-communication automation across the language list named in the RFP, deployed inside a sales-ops or order-management workflow.</w:t>
      </w:r>
    </w:p>
    <w:p>
      <w:pPr>
        <w:pStyle w:val="ListBullet"/>
        <w:spacing w:after="40"/>
      </w:pPr>
      <w:r>
        <w:rPr>
          <w:sz w:val="21"/>
        </w:rPr>
        <w:t>Enterprise integrations spanning Salesforce, Oracle EBS through Jitterbit, and Microsoft 365 in a single sales-operations workflow.</w:t>
      </w:r>
    </w:p>
    <w:p>
      <w:pPr>
        <w:pStyle w:val="Heading2"/>
        <w:spacing w:before="160" w:after="80"/>
      </w:pPr>
      <w:r>
        <w:rPr>
          <w:color w:val="131426"/>
        </w:rPr>
        <w:t>11.3 Reference selection process</w:t>
      </w:r>
    </w:p>
    <w:p>
      <w:pPr>
        <w:pStyle w:val="ListBullet"/>
        <w:spacing w:after="40"/>
      </w:pPr>
      <w:r>
        <w:rPr>
          <w:sz w:val="21"/>
        </w:rPr>
        <w:t>At the vendor capability review stage, Keysight confirms the specific reference profile of greatest interest (sub-vertical, deployment scale, integration scope).</w:t>
      </w:r>
    </w:p>
    <w:p>
      <w:pPr>
        <w:pStyle w:val="ListBullet"/>
        <w:spacing w:after="40"/>
      </w:pPr>
      <w:r>
        <w:rPr>
          <w:sz w:val="21"/>
        </w:rPr>
        <w:t>The Hackett Group nominates two to three customer references matching Q&amp;A item 34's combined criteria (similar domain + sales-ops or order-management use case).</w:t>
      </w:r>
    </w:p>
    <w:p>
      <w:pPr>
        <w:pStyle w:val="ListBullet"/>
        <w:spacing w:after="40"/>
      </w:pPr>
      <w:r>
        <w:rPr>
          <w:sz w:val="21"/>
        </w:rPr>
        <w:t>Reference calls are scoped to this use case only, per Q&amp;A item 34. The broader platform footprint with the reference customer is not part of the conversation.</w:t>
      </w:r>
    </w:p>
    <w:p>
      <w:pPr>
        <w:pStyle w:val="ListBullet"/>
        <w:spacing w:after="40"/>
      </w:pPr>
      <w:r>
        <w:rPr>
          <w:sz w:val="21"/>
        </w:rPr>
        <w:t>Other Keysight teams (supply chain, services) are not on the same call, per Q&amp;A item 34. If a multi-track conversation is needed, separate calls are scheduled.</w:t>
      </w:r>
    </w:p>
    <w:p>
      <w:pPr>
        <w:pStyle w:val="ListBullet"/>
        <w:spacing w:after="40"/>
      </w:pPr>
      <w:r>
        <w:rPr>
          <w:sz w:val="21"/>
        </w:rPr>
        <w:t>Final reference selection is confirmed before contract signature.</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