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12 of 13</w:t>
      </w:r>
    </w:p>
    <w:p>
      <w:pPr>
        <w:spacing w:after="40"/>
      </w:pPr>
      <w:r>
        <w:rPr>
          <w:b/>
          <w:color w:val="1A55F9"/>
          <w:sz w:val="44"/>
        </w:rPr>
        <w:t>Demo</w:t>
      </w:r>
    </w:p>
    <w:p>
      <w:pPr>
        <w:spacing w:after="240"/>
      </w:pPr>
      <w:r>
        <w:rPr>
          <w:i/>
          <w:color w:val="6B7280"/>
          <w:sz w:val="19"/>
        </w:rPr>
        <w:t>Keysight Technologies . Agentic AI for SalesOps RFP Response . The Hackett Group on ZBrain . Response date 2026-05-11</w:t>
      </w:r>
    </w:p>
    <w:p>
      <w:pPr>
        <w:spacing w:after="80"/>
      </w:pPr>
      <w:r>
        <w:rPr>
          <w:b w:val="0"/>
          <w:i w:val="0"/>
          <w:sz w:val="21"/>
        </w:rPr>
        <w:t>Per Q&amp;A item 32, Keysight has asked for a demo of production-deployed work for similar customers, not a custom build for Keysight. The demo is a walk-through of an actual customer implementation already running on ZBrain in the SalesOps and email-automation space: the timeline to go-live, the data analysed, the outcomes achieved, and how the implementation maps to Keysight's seven RFP use cases. Live test emails and bespoke POC builds are not part of the demo, in line with Keysight's stated preference.</w:t>
      </w:r>
    </w:p>
    <w:p>
      <w:pPr>
        <w:pStyle w:val="Heading2"/>
        <w:spacing w:before="160" w:after="80"/>
      </w:pPr>
      <w:r>
        <w:rPr>
          <w:color w:val="131426"/>
        </w:rPr>
        <w:t>12.1 Demo format and slot</w:t>
      </w:r>
    </w:p>
    <w:p>
      <w:pPr>
        <w:spacing w:after="80"/>
      </w:pPr>
      <w:r>
        <w:rPr>
          <w:b w:val="0"/>
          <w:i w:val="0"/>
          <w:sz w:val="21"/>
        </w:rPr>
        <w:t>Per Q&amp;A item 32, Keysight has allocated a 90-minute slot for the vendor demo. Our proposed split is 15 to 20 minutes of demo followed by Q&amp;A using the remaining time. If Keysight prefers a longer demo with shorter Q&amp;A, we can rebalance.</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Segment</w:t>
            </w:r>
          </w:p>
        </w:tc>
        <w:tc>
          <w:tcPr>
            <w:tcW w:type="dxa" w:w="3289"/>
            <w:shd w:val="clear" w:color="auto" w:fill="1A55F9"/>
          </w:tcPr>
          <w:p>
            <w:r>
              <w:rPr>
                <w:b/>
                <w:color w:val="FFFFFF"/>
                <w:sz w:val="20"/>
              </w:rPr>
              <w:t>Duration</w:t>
            </w:r>
          </w:p>
        </w:tc>
        <w:tc>
          <w:tcPr>
            <w:tcW w:type="dxa" w:w="3289"/>
            <w:shd w:val="clear" w:color="auto" w:fill="1A55F9"/>
          </w:tcPr>
          <w:p>
            <w:r>
              <w:rPr>
                <w:b/>
                <w:color w:val="FFFFFF"/>
                <w:sz w:val="20"/>
              </w:rPr>
              <w:t>Content</w:t>
            </w:r>
          </w:p>
        </w:tc>
      </w:tr>
      <w:tr>
        <w:tc>
          <w:tcPr>
            <w:tcW w:type="dxa" w:w="3289"/>
            <w:vAlign w:val="top"/>
          </w:tcPr>
          <w:p>
            <w:r>
              <w:rPr>
                <w:sz w:val="19"/>
              </w:rPr>
              <w:t>Demo walk-through</w:t>
            </w:r>
          </w:p>
        </w:tc>
        <w:tc>
          <w:tcPr>
            <w:tcW w:type="dxa" w:w="3289"/>
            <w:vAlign w:val="top"/>
          </w:tcPr>
          <w:p>
            <w:r>
              <w:rPr>
                <w:sz w:val="19"/>
              </w:rPr>
              <w:t>15 to 20 minutes</w:t>
            </w:r>
          </w:p>
        </w:tc>
        <w:tc>
          <w:tcPr>
            <w:tcW w:type="dxa" w:w="3289"/>
            <w:vAlign w:val="top"/>
          </w:tcPr>
          <w:p>
            <w:r>
              <w:rPr>
                <w:sz w:val="19"/>
              </w:rPr>
              <w:t>Live screen-share through a production-deployed ZBrain implementation in a similar domain. Walk the email-classification, document-extraction, four-gate confidence model, HITL portal, multilingual reply drafting, and Knowledge Base authoring flows. Each section is anchored to one of the seven RFP use cases so the mapping is explicit.</w:t>
            </w:r>
          </w:p>
        </w:tc>
      </w:tr>
      <w:tr>
        <w:tc>
          <w:tcPr>
            <w:tcW w:type="dxa" w:w="3289"/>
            <w:vAlign w:val="top"/>
          </w:tcPr>
          <w:p>
            <w:r>
              <w:rPr>
                <w:sz w:val="19"/>
              </w:rPr>
              <w:t>Outcomes review</w:t>
            </w:r>
          </w:p>
        </w:tc>
        <w:tc>
          <w:tcPr>
            <w:tcW w:type="dxa" w:w="3289"/>
            <w:vAlign w:val="top"/>
          </w:tcPr>
          <w:p>
            <w:r>
              <w:rPr>
                <w:sz w:val="19"/>
              </w:rPr>
              <w:t>10 minutes</w:t>
            </w:r>
          </w:p>
        </w:tc>
        <w:tc>
          <w:tcPr>
            <w:tcW w:type="dxa" w:w="3289"/>
            <w:vAlign w:val="top"/>
          </w:tcPr>
          <w:p>
            <w:r>
              <w:rPr>
                <w:sz w:val="19"/>
              </w:rPr>
              <w:t>The headline outcomes achieved on the production deployment: automation rate, accuracy, time-to-go-live, post-cutover learning curve. Data shown is from the live production instance, redacted where customer confidentiality requires.</w:t>
            </w:r>
          </w:p>
        </w:tc>
      </w:tr>
      <w:tr>
        <w:tc>
          <w:tcPr>
            <w:tcW w:type="dxa" w:w="3289"/>
            <w:vAlign w:val="top"/>
          </w:tcPr>
          <w:p>
            <w:r>
              <w:rPr>
                <w:sz w:val="19"/>
              </w:rPr>
              <w:t>Q&amp;A</w:t>
            </w:r>
          </w:p>
        </w:tc>
        <w:tc>
          <w:tcPr>
            <w:tcW w:type="dxa" w:w="3289"/>
            <w:vAlign w:val="top"/>
          </w:tcPr>
          <w:p>
            <w:r>
              <w:rPr>
                <w:sz w:val="19"/>
              </w:rPr>
              <w:t>Remaining time</w:t>
            </w:r>
          </w:p>
        </w:tc>
        <w:tc>
          <w:tcPr>
            <w:tcW w:type="dxa" w:w="3289"/>
            <w:vAlign w:val="top"/>
          </w:tcPr>
          <w:p>
            <w:r>
              <w:rPr>
                <w:sz w:val="19"/>
              </w:rPr>
              <w:t>Open Q&amp;A with the Keysight evaluation team, including the project team, Head of Global Apps, the Chief Data and Analytics Officer, and the Services representative (per the audience confirmed in Q&amp;A item 33). Architecture, governance, integration, and pricing questions welcome.</w:t>
            </w:r>
          </w:p>
        </w:tc>
      </w:tr>
    </w:tbl>
    <w:p>
      <w:pPr>
        <w:pStyle w:val="Heading2"/>
        <w:spacing w:before="160" w:after="80"/>
      </w:pPr>
      <w:r>
        <w:rPr>
          <w:color w:val="131426"/>
        </w:rPr>
        <w:t>12.2 What the demo will cover</w:t>
      </w:r>
    </w:p>
    <w:p>
      <w:pPr>
        <w:pStyle w:val="ListBullet"/>
        <w:spacing w:after="40"/>
      </w:pPr>
      <w:r>
        <w:rPr>
          <w:sz w:val="21"/>
        </w:rPr>
        <w:t>The production-deployed AI assistant working through inbound mail in a domain analogous to Keysight's, covering classification, extraction, decision, and reply drafting end to end.</w:t>
      </w:r>
    </w:p>
    <w:p>
      <w:pPr>
        <w:pStyle w:val="ListBullet"/>
        <w:spacing w:after="40"/>
      </w:pPr>
      <w:r>
        <w:rPr>
          <w:sz w:val="21"/>
        </w:rPr>
        <w:t>Classification edge cases similar to those in Keysight's rule book (multi-intent emails, PO mentioned alongside a Work Order, acknowledgement-only threads, generic forwards that hide a real request earlier in the thread).</w:t>
      </w:r>
    </w:p>
    <w:p>
      <w:pPr>
        <w:pStyle w:val="ListBullet"/>
        <w:spacing w:after="40"/>
      </w:pPr>
      <w:r>
        <w:rPr>
          <w:sz w:val="21"/>
        </w:rPr>
        <w:t>Extraction across attachment formats relevant to Keysight (PDF including scanned forms, Word, Excel, images, embedded inbox items).</w:t>
      </w:r>
    </w:p>
    <w:p>
      <w:pPr>
        <w:pStyle w:val="ListBullet"/>
        <w:spacing w:after="40"/>
      </w:pPr>
      <w:r>
        <w:rPr>
          <w:sz w:val="21"/>
        </w:rPr>
        <w:t>The four-gate confidence display in the operator portal, so the evaluation team can see how the AI explains itself.</w:t>
      </w:r>
    </w:p>
    <w:p>
      <w:pPr>
        <w:pStyle w:val="ListBullet"/>
        <w:spacing w:after="40"/>
      </w:pPr>
      <w:r>
        <w:rPr>
          <w:sz w:val="21"/>
        </w:rPr>
        <w:t>Customer reply drafting in multiple languages, using a production glossary.</w:t>
      </w:r>
    </w:p>
    <w:p>
      <w:pPr>
        <w:pStyle w:val="ListBullet"/>
        <w:spacing w:after="40"/>
      </w:pPr>
      <w:r>
        <w:rPr>
          <w:sz w:val="21"/>
        </w:rPr>
        <w:t>The Knowledge Base authoring flow: a live edit during the demo, and the next pipeline run picking up the change without a restart.</w:t>
      </w:r>
    </w:p>
    <w:p>
      <w:pPr>
        <w:pStyle w:val="ListBullet"/>
        <w:spacing w:after="40"/>
      </w:pPr>
      <w:r>
        <w:rPr>
          <w:sz w:val="21"/>
        </w:rPr>
        <w:t>The Governance and Analytics screen (described in Implementation Approach 4.7): health tiles, the Opportunity board, active A/B experiments, the drift timeline, and the change log.</w:t>
      </w:r>
    </w:p>
    <w:p>
      <w:pPr>
        <w:pStyle w:val="ListBullet"/>
        <w:spacing w:after="40"/>
      </w:pPr>
      <w:r>
        <w:rPr>
          <w:sz w:val="21"/>
        </w:rPr>
        <w:t>A walk-through of how the seven RFP use cases would map onto the production deployment shown.</w:t>
      </w:r>
    </w:p>
    <w:p>
      <w:pPr>
        <w:pStyle w:val="Heading2"/>
        <w:spacing w:before="160" w:after="80"/>
      </w:pPr>
      <w:r>
        <w:rPr>
          <w:color w:val="131426"/>
        </w:rPr>
        <w:t>12.3 Reference implementation shown</w:t>
      </w:r>
    </w:p>
    <w:p>
      <w:pPr>
        <w:spacing w:after="80"/>
      </w:pPr>
      <w:r>
        <w:rPr>
          <w:b w:val="0"/>
          <w:i w:val="0"/>
          <w:sz w:val="21"/>
        </w:rPr>
        <w:t>The specific customer implementation used for the demo is confirmed under NDA at the vendor capability review stage. The selection criteria are aligned to Q&amp;A item 34: same domain (semiconductor, industrial test, or comparable high-tech vertical) and same use case profile (sales operations and order management). The reference focus is this use case only; broader platform footprint at that customer is not part of the demo per Keysight's stated preference.</w:t>
      </w:r>
    </w:p>
    <w:p>
      <w:pPr>
        <w:pStyle w:val="Heading2"/>
        <w:spacing w:before="160" w:after="80"/>
      </w:pPr>
      <w:r>
        <w:rPr>
          <w:color w:val="131426"/>
        </w:rPr>
        <w:t>12.4 Supplementary materials</w:t>
      </w:r>
    </w:p>
    <w:p>
      <w:pPr>
        <w:spacing w:after="80"/>
      </w:pPr>
      <w:r>
        <w:rPr>
          <w:b w:val="0"/>
          <w:i w:val="0"/>
          <w:sz w:val="21"/>
        </w:rPr>
        <w:t>Per Q&amp;A item 35, Keysight has confirmed that supplementary documents (roadmap, architecture, governance posture) may be submitted alongside the RFP response. These are available on request: the ZBrain product roadmap, the deployment reference architecture in detail, and the governance integration approach with Microsoft enterprise tooling.</w:t>
      </w:r>
    </w:p>
    <w:p>
      <w:pPr>
        <w:pStyle w:val="Heading2"/>
        <w:spacing w:before="160" w:after="80"/>
      </w:pPr>
      <w:r>
        <w:rPr>
          <w:color w:val="131426"/>
        </w:rPr>
        <w:t>12.5 Demo outcomes and next steps</w:t>
      </w:r>
    </w:p>
    <w:p>
      <w:pPr>
        <w:pStyle w:val="ListBullet"/>
        <w:spacing w:after="40"/>
      </w:pPr>
      <w:r>
        <w:rPr>
          <w:sz w:val="21"/>
        </w:rPr>
        <w:t>The Keysight evaluation team sees the solution working against material that is representative of the production workload at a comparable customer.</w:t>
      </w:r>
    </w:p>
    <w:p>
      <w:pPr>
        <w:pStyle w:val="ListBullet"/>
        <w:spacing w:after="40"/>
      </w:pPr>
      <w:r>
        <w:rPr>
          <w:sz w:val="21"/>
        </w:rPr>
        <w:t>Open questions and feedback from the demo are captured into a shared backlog for the engagement.</w:t>
      </w:r>
    </w:p>
    <w:p>
      <w:pPr>
        <w:pStyle w:val="ListBullet"/>
        <w:spacing w:after="40"/>
      </w:pPr>
      <w:r>
        <w:rPr>
          <w:sz w:val="21"/>
        </w:rPr>
        <w:t>Any change to the proposed scope is taken into Sprint 1 functional design.</w:t>
      </w:r>
    </w:p>
    <w:p>
      <w:pPr>
        <w:pStyle w:val="ListBullet"/>
        <w:spacing w:after="40"/>
      </w:pPr>
      <w:r>
        <w:rPr>
          <w:sz w:val="21"/>
        </w:rPr>
        <w:t>Reference customer introductions are scheduled for the vendor capability review stage. Reference calls focus on the SalesOps and order-management use case only, per Q&amp;A item 34.</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