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27BF" w14:textId="77777777" w:rsidR="002272F7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31524AD" w14:textId="77777777" w:rsidR="002272F7" w:rsidRDefault="002272F7" w:rsidP="002272F7">
      <w:pPr>
        <w:ind w:left="360"/>
      </w:pPr>
    </w:p>
    <w:p w14:paraId="5E9A4EEA" w14:textId="77777777" w:rsidR="002272F7" w:rsidRDefault="002272F7" w:rsidP="002272F7">
      <w:pPr>
        <w:ind w:left="360"/>
      </w:pPr>
    </w:p>
    <w:p w14:paraId="01A9217C" w14:textId="77777777" w:rsidR="002272F7" w:rsidRDefault="002272F7" w:rsidP="002272F7">
      <w:pPr>
        <w:ind w:left="2160"/>
      </w:pPr>
    </w:p>
    <w:tbl>
      <w:tblPr>
        <w:tblW w:w="4631" w:type="dxa"/>
        <w:tblInd w:w="1918" w:type="dxa"/>
        <w:tblLook w:val="04A0" w:firstRow="1" w:lastRow="0" w:firstColumn="1" w:lastColumn="0" w:noHBand="0" w:noVBand="1"/>
      </w:tblPr>
      <w:tblGrid>
        <w:gridCol w:w="3580"/>
        <w:gridCol w:w="1051"/>
      </w:tblGrid>
      <w:tr w:rsidR="002272F7" w:rsidRPr="002272F7" w14:paraId="4582DCD0" w14:textId="77777777" w:rsidTr="002272F7">
        <w:trPr>
          <w:trHeight w:val="276"/>
        </w:trPr>
        <w:tc>
          <w:tcPr>
            <w:tcW w:w="3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F1DA"/>
            <w:noWrap/>
            <w:vAlign w:val="bottom"/>
            <w:hideMark/>
          </w:tcPr>
          <w:p w14:paraId="53837BDF" w14:textId="77777777" w:rsidR="002272F7" w:rsidRPr="002272F7" w:rsidRDefault="002272F7" w:rsidP="002272F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Features 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1F1DA"/>
            <w:noWrap/>
            <w:vAlign w:val="bottom"/>
            <w:hideMark/>
          </w:tcPr>
          <w:p w14:paraId="76340A7A" w14:textId="77777777" w:rsidR="002272F7" w:rsidRPr="002272F7" w:rsidRDefault="002272F7" w:rsidP="002272F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coeff</w:t>
            </w:r>
            <w:proofErr w:type="spellEnd"/>
          </w:p>
        </w:tc>
      </w:tr>
      <w:tr w:rsidR="002272F7" w:rsidRPr="002272F7" w14:paraId="31D92B1D" w14:textId="77777777" w:rsidTr="002272F7">
        <w:trPr>
          <w:trHeight w:val="264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1CC"/>
            <w:noWrap/>
            <w:vAlign w:val="bottom"/>
            <w:hideMark/>
          </w:tcPr>
          <w:p w14:paraId="485DE005" w14:textId="77777777" w:rsidR="002272F7" w:rsidRPr="002272F7" w:rsidRDefault="002272F7" w:rsidP="002272F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Tags_Will</w:t>
            </w:r>
            <w:proofErr w:type="spellEnd"/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revert after reading the email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1CC"/>
            <w:noWrap/>
            <w:vAlign w:val="bottom"/>
            <w:hideMark/>
          </w:tcPr>
          <w:p w14:paraId="5467EC18" w14:textId="77777777" w:rsidR="002272F7" w:rsidRPr="002272F7" w:rsidRDefault="002272F7" w:rsidP="002272F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1.512422</w:t>
            </w:r>
          </w:p>
        </w:tc>
      </w:tr>
      <w:tr w:rsidR="002272F7" w:rsidRPr="002272F7" w14:paraId="77F17323" w14:textId="77777777" w:rsidTr="002272F7">
        <w:trPr>
          <w:trHeight w:val="264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1CC"/>
            <w:noWrap/>
            <w:vAlign w:val="bottom"/>
            <w:hideMark/>
          </w:tcPr>
          <w:p w14:paraId="7357BB91" w14:textId="77777777" w:rsidR="002272F7" w:rsidRPr="002272F7" w:rsidRDefault="002272F7" w:rsidP="002272F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Lead </w:t>
            </w:r>
            <w:proofErr w:type="spellStart"/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Origin_Lead</w:t>
            </w:r>
            <w:proofErr w:type="spellEnd"/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 xml:space="preserve"> Add Form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1CC"/>
            <w:noWrap/>
            <w:vAlign w:val="bottom"/>
            <w:hideMark/>
          </w:tcPr>
          <w:p w14:paraId="07C3A72F" w14:textId="77777777" w:rsidR="002272F7" w:rsidRPr="002272F7" w:rsidRDefault="002272F7" w:rsidP="002272F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1.298576</w:t>
            </w:r>
          </w:p>
        </w:tc>
      </w:tr>
      <w:tr w:rsidR="002272F7" w:rsidRPr="002272F7" w14:paraId="09BF4D0E" w14:textId="77777777" w:rsidTr="002272F7">
        <w:trPr>
          <w:trHeight w:val="276"/>
        </w:trPr>
        <w:tc>
          <w:tcPr>
            <w:tcW w:w="3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1CC"/>
            <w:noWrap/>
            <w:vAlign w:val="bottom"/>
            <w:hideMark/>
          </w:tcPr>
          <w:p w14:paraId="04DB0758" w14:textId="77777777" w:rsidR="002272F7" w:rsidRPr="002272F7" w:rsidRDefault="002272F7" w:rsidP="002272F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Tags_Ringing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1CC"/>
            <w:noWrap/>
            <w:vAlign w:val="bottom"/>
            <w:hideMark/>
          </w:tcPr>
          <w:p w14:paraId="61B577BC" w14:textId="77777777" w:rsidR="002272F7" w:rsidRPr="002272F7" w:rsidRDefault="002272F7" w:rsidP="002272F7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</w:pPr>
            <w:r w:rsidRPr="002272F7">
              <w:rPr>
                <w:rFonts w:eastAsia="Times New Roman"/>
                <w:color w:val="000000"/>
                <w:sz w:val="20"/>
                <w:szCs w:val="20"/>
                <w:lang w:val="en-IN" w:eastAsia="en-IN"/>
              </w:rPr>
              <w:t>1.187626</w:t>
            </w:r>
          </w:p>
        </w:tc>
      </w:tr>
    </w:tbl>
    <w:p w14:paraId="5443A6D3" w14:textId="60D25F91" w:rsidR="00243243" w:rsidRDefault="00BB19D9" w:rsidP="002272F7">
      <w:pPr>
        <w:ind w:left="360"/>
        <w:jc w:val="center"/>
      </w:pPr>
      <w:r>
        <w:br/>
      </w:r>
    </w:p>
    <w:p w14:paraId="0A74ADEC" w14:textId="1C971030" w:rsidR="00243243" w:rsidRDefault="00BB19D9" w:rsidP="00886B38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</w:t>
      </w:r>
      <w:r w:rsidR="00BC1AB4">
        <w:t xml:space="preserve">conversion? </w:t>
      </w:r>
    </w:p>
    <w:tbl>
      <w:tblPr>
        <w:tblW w:w="2335" w:type="dxa"/>
        <w:tblInd w:w="2976" w:type="dxa"/>
        <w:tblLook w:val="04A0" w:firstRow="1" w:lastRow="0" w:firstColumn="1" w:lastColumn="0" w:noHBand="0" w:noVBand="1"/>
      </w:tblPr>
      <w:tblGrid>
        <w:gridCol w:w="2335"/>
      </w:tblGrid>
      <w:tr w:rsidR="00886B38" w:rsidRPr="00886B38" w14:paraId="44D0E566" w14:textId="77777777" w:rsidTr="00886B38">
        <w:trPr>
          <w:trHeight w:val="264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1F1DA"/>
            <w:noWrap/>
            <w:vAlign w:val="center"/>
            <w:hideMark/>
          </w:tcPr>
          <w:p w14:paraId="7766FBA5" w14:textId="77777777" w:rsidR="00886B38" w:rsidRPr="00886B38" w:rsidRDefault="00886B38" w:rsidP="00886B38">
            <w:pPr>
              <w:spacing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886B3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>'Lead Origin',</w:t>
            </w:r>
          </w:p>
        </w:tc>
      </w:tr>
      <w:tr w:rsidR="00886B38" w:rsidRPr="00886B38" w14:paraId="3BD91D43" w14:textId="77777777" w:rsidTr="00886B38">
        <w:trPr>
          <w:trHeight w:val="264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1F1DA"/>
            <w:noWrap/>
            <w:vAlign w:val="center"/>
            <w:hideMark/>
          </w:tcPr>
          <w:p w14:paraId="1CFD48A8" w14:textId="77777777" w:rsidR="00886B38" w:rsidRPr="00886B38" w:rsidRDefault="00886B38" w:rsidP="00886B38">
            <w:pPr>
              <w:spacing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886B3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 xml:space="preserve"> 'Tags',</w:t>
            </w:r>
          </w:p>
        </w:tc>
      </w:tr>
      <w:tr w:rsidR="00886B38" w:rsidRPr="00886B38" w14:paraId="43B2C8A8" w14:textId="77777777" w:rsidTr="00886B38">
        <w:trPr>
          <w:trHeight w:val="276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F1DA"/>
            <w:noWrap/>
            <w:vAlign w:val="center"/>
            <w:hideMark/>
          </w:tcPr>
          <w:p w14:paraId="13447114" w14:textId="77777777" w:rsidR="00886B38" w:rsidRPr="00886B38" w:rsidRDefault="00886B38" w:rsidP="00886B38">
            <w:pPr>
              <w:spacing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</w:pPr>
            <w:r w:rsidRPr="00886B3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IN" w:eastAsia="en-IN"/>
              </w:rPr>
              <w:t xml:space="preserve"> 'Last Notable Activity'</w:t>
            </w:r>
          </w:p>
        </w:tc>
      </w:tr>
    </w:tbl>
    <w:p w14:paraId="28297562" w14:textId="77777777" w:rsidR="00886B38" w:rsidRDefault="00886B38" w:rsidP="00886B38">
      <w:pPr>
        <w:ind w:left="2160"/>
      </w:pPr>
    </w:p>
    <w:p w14:paraId="3B5D6172" w14:textId="77777777" w:rsidR="00B9663D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F3C8F5E" w14:textId="77777777" w:rsidR="00B9663D" w:rsidRDefault="00B9663D" w:rsidP="00B9663D"/>
    <w:p w14:paraId="1058784D" w14:textId="776D8EC6" w:rsidR="00B9663D" w:rsidRDefault="00B9663D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 the above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scenario, X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Education needs maximum correct Lead Predictions.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Hence,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we should</w:t>
      </w:r>
      <w:r w:rsidR="005115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focus on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maximum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9B6E39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Precision.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6F60AD38" w14:textId="31D82A4D" w:rsidR="00B9663D" w:rsidRPr="009B6E39" w:rsidRDefault="005115AD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Reason:</w:t>
      </w:r>
      <w:r w:rsidR="00B9663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21AD8128" w14:textId="1AB44B0B" w:rsidR="00B9663D" w:rsidRPr="009B6E39" w:rsidRDefault="00B9663D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Precision is the metric which tells you the proportion of positive identifications was </w:t>
      </w:r>
      <w:proofErr w:type="gramStart"/>
      <w:r w:rsidR="009B6E39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actually correct</w:t>
      </w:r>
      <w:proofErr w:type="gramEnd"/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?</w:t>
      </w:r>
    </w:p>
    <w:p w14:paraId="6E81606A" w14:textId="07D4035A" w:rsidR="00B9663D" w:rsidRPr="009B6E39" w:rsidRDefault="00B9663D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 model that produces no false positives has a precision of 1.0.</w:t>
      </w:r>
    </w:p>
    <w:p w14:paraId="6B915601" w14:textId="191464A6" w:rsidR="00B9663D" w:rsidRPr="009B6E39" w:rsidRDefault="00B9663D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Precision = TP / (TP+</w:t>
      </w:r>
      <w:r w:rsidR="009B6E39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FP)</w:t>
      </w:r>
    </w:p>
    <w:p w14:paraId="1DDEA603" w14:textId="33FB4F1C" w:rsidR="009B6E39" w:rsidRDefault="009B6E39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Our final model has Precision Score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of 89.55% ≈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90% </w:t>
      </w:r>
    </w:p>
    <w:p w14:paraId="48D70414" w14:textId="3DCCDC61" w:rsidR="00CC2369" w:rsidRDefault="00CC2369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That means </w:t>
      </w:r>
      <w:r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when it predicts a </w:t>
      </w:r>
      <w:r w:rsidR="005115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Lead </w:t>
      </w:r>
      <w:r w:rsidR="005115AD"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Converted</w:t>
      </w:r>
      <w:r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it is correct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90</w:t>
      </w:r>
      <w:r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% of the time.</w:t>
      </w:r>
    </w:p>
    <w:p w14:paraId="23681E60" w14:textId="42CCCDBA" w:rsidR="005115AD" w:rsidRDefault="005115AD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 order 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ensure this the </w:t>
      </w:r>
      <w:r w:rsidRPr="00CF58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interns can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115A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Make as many phone calls as possible to get maximum Conversions into /Hot Leads</w:t>
      </w:r>
      <w:r w:rsidR="00CF58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 xml:space="preserve"> </w:t>
      </w:r>
      <w:r w:rsidR="00CF587B" w:rsidRPr="00CF587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 following groups of Customers</w:t>
      </w:r>
    </w:p>
    <w:p w14:paraId="15458D46" w14:textId="519D5385" w:rsidR="005115AD" w:rsidRDefault="00CF587B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… based on time spent on Website if Maximum</w:t>
      </w:r>
    </w:p>
    <w:p w14:paraId="1B99F4C7" w14:textId="609A8E49" w:rsidR="00CF587B" w:rsidRDefault="00CF587B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… Multiple visits to websites by same customer</w:t>
      </w:r>
    </w:p>
    <w:p w14:paraId="2451817B" w14:textId="7F270A64" w:rsidR="00CF587B" w:rsidRDefault="00CF587B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… T</w:t>
      </w:r>
      <w:r w:rsidRPr="00CF587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heir last activity is through SMS or Olark Chat conversation</w:t>
      </w:r>
    </w:p>
    <w:p w14:paraId="17C68E80" w14:textId="0E553113" w:rsidR="00CF587B" w:rsidRDefault="00CF587B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… if they are unemployed or Working Categories.</w:t>
      </w:r>
    </w:p>
    <w:p w14:paraId="05D511CB" w14:textId="0AE71BF9" w:rsidR="005115AD" w:rsidRPr="009B6E39" w:rsidRDefault="005115AD" w:rsidP="00B9663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940E14B" w14:textId="6154E16A" w:rsidR="00243243" w:rsidRDefault="00BB19D9" w:rsidP="00B9663D">
      <w:pPr>
        <w:ind w:left="720"/>
      </w:pPr>
      <w:r>
        <w:br/>
      </w:r>
    </w:p>
    <w:p w14:paraId="40451649" w14:textId="32B26AD8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1B9A256" w14:textId="07EABFEB" w:rsidR="009B6E39" w:rsidRDefault="009B6E39" w:rsidP="009B6E39">
      <w:pPr>
        <w:ind w:left="720"/>
      </w:pPr>
    </w:p>
    <w:p w14:paraId="53D14A8D" w14:textId="1F25D532" w:rsidR="009B6E39" w:rsidRDefault="009B6E39" w:rsidP="009B6E39">
      <w:pPr>
        <w:ind w:left="720"/>
      </w:pPr>
    </w:p>
    <w:p w14:paraId="42D27FEB" w14:textId="4ABE416A" w:rsidR="009B6E39" w:rsidRPr="009B6E39" w:rsidRDefault="009B6E39" w:rsidP="009B6E39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 the above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scenario, X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Education needs </w:t>
      </w:r>
      <w:r w:rsid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no Wrong 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Lead Predictions.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Hence,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we should choose a model with maximum </w:t>
      </w:r>
      <w:r w:rsid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Recall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. </w:t>
      </w:r>
    </w:p>
    <w:p w14:paraId="208227A0" w14:textId="5D99B3F3" w:rsidR="009B6E39" w:rsidRPr="009B6E39" w:rsidRDefault="005115AD" w:rsidP="009B6E39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Reason:</w:t>
      </w:r>
      <w:r w:rsidR="009B6E39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57E0A4F5" w14:textId="77777777" w:rsidR="00CC2369" w:rsidRDefault="00CC2369" w:rsidP="009B6E39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Recall</w:t>
      </w:r>
      <w:r w:rsidR="009B6E39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is the metric which tells you the </w:t>
      </w:r>
      <w:r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proportion of actual positives was identified correctly</w:t>
      </w:r>
    </w:p>
    <w:p w14:paraId="20AFEBA5" w14:textId="35EEA658" w:rsidR="009B6E39" w:rsidRPr="009B6E39" w:rsidRDefault="009B6E39" w:rsidP="009B6E39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 model that produces no false </w:t>
      </w:r>
      <w:r w:rsid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negatives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has a </w:t>
      </w:r>
      <w:r w:rsid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Recall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of 1.0.</w:t>
      </w:r>
    </w:p>
    <w:p w14:paraId="4CD6B1BD" w14:textId="77777777" w:rsidR="00CC2369" w:rsidRDefault="009B6E39" w:rsidP="00CC2369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Precision = TP / (TP+F</w:t>
      </w:r>
      <w:r w:rsid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D552CA" w14:textId="331F91FC" w:rsidR="009B6E39" w:rsidRDefault="009B6E39" w:rsidP="00CC2369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Our final model has Precision Score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of 82.6</w:t>
      </w:r>
      <w:r w:rsidR="00CC2369">
        <w:rPr>
          <w:color w:val="000000"/>
          <w:sz w:val="21"/>
          <w:szCs w:val="21"/>
        </w:rPr>
        <w:t xml:space="preserve"> </w:t>
      </w:r>
      <w:r w:rsidR="005115AD"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% ≈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CC2369">
        <w:rPr>
          <w:color w:val="000000"/>
          <w:sz w:val="21"/>
          <w:szCs w:val="21"/>
        </w:rPr>
        <w:t>83</w:t>
      </w:r>
      <w:r w:rsidRPr="009B6E3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% </w:t>
      </w:r>
    </w:p>
    <w:p w14:paraId="7D366E80" w14:textId="6CC7E8AB" w:rsidR="00CC2369" w:rsidRPr="009B6E39" w:rsidRDefault="00CC2369" w:rsidP="00CC2369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in other words, it correctly identifies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83</w:t>
      </w:r>
      <w:r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% of all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Leads</w:t>
      </w:r>
      <w:r w:rsidRPr="00CC236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</w:p>
    <w:p w14:paraId="3C23B7D5" w14:textId="4CCA7088" w:rsidR="005115AD" w:rsidRDefault="009B6E39" w:rsidP="005115AD">
      <w:pPr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br/>
      </w:r>
      <w:r w:rsidR="005115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Our model tells ‘</w:t>
      </w:r>
      <w:r w:rsidR="005115AD" w:rsidRPr="002272F7">
        <w:rPr>
          <w:rFonts w:eastAsia="Times New Roman"/>
          <w:color w:val="000000"/>
          <w:sz w:val="20"/>
          <w:szCs w:val="20"/>
          <w:lang w:val="en-IN" w:eastAsia="en-IN"/>
        </w:rPr>
        <w:t>Tags Will revert after reading the email</w:t>
      </w:r>
      <w:r w:rsidR="005115AD">
        <w:rPr>
          <w:rFonts w:eastAsia="Times New Roman"/>
          <w:color w:val="000000"/>
          <w:sz w:val="20"/>
          <w:szCs w:val="20"/>
          <w:lang w:val="en-IN" w:eastAsia="en-IN"/>
        </w:rPr>
        <w:t xml:space="preserve">’ </w:t>
      </w:r>
      <w:r w:rsidR="005115AD" w:rsidRPr="005115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is a major feature deciding </w:t>
      </w:r>
      <w:r w:rsidR="005115AD" w:rsidRPr="005115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 Lead</w:t>
      </w:r>
      <w:r w:rsidR="005115AD" w:rsidRPr="005115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Conversion … hence the </w:t>
      </w:r>
      <w:r w:rsidR="005115AD" w:rsidRPr="005115A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>Intern team should target maximum emails to be sent to potential leads to find Hot Leads</w:t>
      </w:r>
    </w:p>
    <w:p w14:paraId="6AA6FF84" w14:textId="391A8F34" w:rsidR="005115AD" w:rsidRDefault="005115AD" w:rsidP="005115AD">
      <w:pPr>
        <w:pStyle w:val="ListParagraph"/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strategy can be used </w:t>
      </w:r>
      <w:r>
        <w:rPr>
          <w:rFonts w:asciiTheme="majorHAnsi" w:hAnsiTheme="majorHAnsi" w:cstheme="majorHAnsi"/>
        </w:rPr>
        <w:t>to only</w:t>
      </w:r>
      <w:r>
        <w:rPr>
          <w:rFonts w:asciiTheme="majorHAnsi" w:hAnsiTheme="majorHAnsi" w:cstheme="majorHAnsi"/>
        </w:rPr>
        <w:t xml:space="preserve"> those customers that have very high chance</w:t>
      </w:r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of buying the course </w:t>
      </w:r>
    </w:p>
    <w:p w14:paraId="5927967E" w14:textId="77777777" w:rsidR="005115AD" w:rsidRPr="005115AD" w:rsidRDefault="005115AD" w:rsidP="005115AD">
      <w:pPr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70AE11" w14:textId="41502DF0" w:rsidR="009B6E39" w:rsidRDefault="009B6E39" w:rsidP="009B6E39">
      <w:pPr>
        <w:ind w:left="720"/>
      </w:pPr>
    </w:p>
    <w:sectPr w:rsidR="009B6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003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272F7"/>
    <w:rsid w:val="00243243"/>
    <w:rsid w:val="005115AD"/>
    <w:rsid w:val="00886B38"/>
    <w:rsid w:val="009B6E39"/>
    <w:rsid w:val="009D4584"/>
    <w:rsid w:val="00B9663D"/>
    <w:rsid w:val="00BB19D9"/>
    <w:rsid w:val="00BC1AB4"/>
    <w:rsid w:val="00C42D13"/>
    <w:rsid w:val="00CC2369"/>
    <w:rsid w:val="00C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6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6E3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51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556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796">
          <w:marLeft w:val="19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Snehal Virwadekar</cp:lastModifiedBy>
  <cp:revision>10</cp:revision>
  <dcterms:created xsi:type="dcterms:W3CDTF">2019-01-07T08:33:00Z</dcterms:created>
  <dcterms:modified xsi:type="dcterms:W3CDTF">2022-10-25T11:32:00Z</dcterms:modified>
</cp:coreProperties>
</file>