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80E58">
      <w:pPr>
        <w:spacing w:before="0" w:after="60"/>
        <w:jc w:val="center"/>
      </w:pPr>
      <w:r>
        <w:rPr>
          <w:rFonts w:ascii="Arial" w:hAnsi="Arial" w:eastAsia="Arial" w:cs="Arial"/>
          <w:b/>
          <w:bCs/>
          <w:color w:val="1F4E79"/>
          <w:sz w:val="40"/>
          <w:szCs w:val="40"/>
        </w:rPr>
        <w:t>Training a Gemma-Style 270M Parameter Language Model</w:t>
      </w:r>
    </w:p>
    <w:p w14:paraId="4F06FA3C">
      <w:pPr>
        <w:spacing w:before="0" w:after="80"/>
        <w:jc w:val="center"/>
      </w:pPr>
      <w:r>
        <w:rPr>
          <w:rFonts w:ascii="Arial" w:hAnsi="Arial" w:eastAsia="Arial" w:cs="Arial"/>
          <w:b/>
          <w:bCs/>
          <w:color w:val="2E75B6"/>
          <w:sz w:val="32"/>
          <w:szCs w:val="32"/>
        </w:rPr>
        <w:t>From Scratch on Commodity Hardware: Architecture, Training Dynamics, and Evaluation</w:t>
      </w:r>
    </w:p>
    <w:p w14:paraId="223366A7">
      <w:pPr>
        <w:spacing w:before="60" w:after="40"/>
        <w:jc w:val="center"/>
      </w:pPr>
      <w:r>
        <w:rPr>
          <w:rFonts w:ascii="Arial" w:hAnsi="Arial" w:eastAsia="Arial" w:cs="Arial"/>
          <w:color w:val="595959"/>
          <w:sz w:val="24"/>
          <w:szCs w:val="24"/>
        </w:rPr>
        <w:t>Snehal Lal Das</w:t>
      </w:r>
    </w:p>
    <w:p w14:paraId="507BD2C2">
      <w:pPr>
        <w:spacing w:before="0" w:after="40"/>
        <w:jc w:val="center"/>
      </w:pPr>
      <w:r>
        <w:rPr>
          <w:rFonts w:ascii="Arial" w:hAnsi="Arial" w:eastAsia="Arial" w:cs="Arial"/>
          <w:i/>
          <w:iCs/>
          <w:color w:val="595959"/>
          <w:sz w:val="20"/>
          <w:szCs w:val="20"/>
        </w:rPr>
        <w:t>Roorkee Institute of Technology, Uttarakhand Technical University, India</w:t>
      </w:r>
    </w:p>
    <w:p w14:paraId="5E1FBEC4">
      <w:pPr>
        <w:spacing w:before="0" w:after="40"/>
        <w:jc w:val="center"/>
      </w:pPr>
      <w:r>
        <w:rPr>
          <w:rFonts w:ascii="Arial" w:hAnsi="Arial" w:eastAsia="Arial" w:cs="Arial"/>
          <w:color w:val="595959"/>
          <w:sz w:val="20"/>
          <w:szCs w:val="20"/>
        </w:rPr>
        <w:t>snehallaldas@gmail.com  |  github.com/Snehallaldas/gemma-270m-from-scratch</w:t>
      </w:r>
    </w:p>
    <w:p w14:paraId="7613666D">
      <w:pPr>
        <w:spacing w:before="0" w:after="40"/>
        <w:jc w:val="center"/>
      </w:pPr>
      <w:r>
        <w:rPr>
          <w:rFonts w:ascii="Arial" w:hAnsi="Arial" w:eastAsia="Arial" w:cs="Arial"/>
          <w:color w:val="595959"/>
          <w:sz w:val="20"/>
          <w:szCs w:val="20"/>
        </w:rPr>
        <w:t>Kaggle Notebook &amp; Model Weights: kaggle.com/code/snehallaldas/gemma-3-270m</w:t>
      </w:r>
    </w:p>
    <w:p w14:paraId="2F5C2176">
      <w:pPr>
        <w:pBdr>
          <w:bottom w:val="single" w:color="1F4E79" w:sz="12" w:space="1"/>
        </w:pBdr>
        <w:spacing w:before="80" w:after="80"/>
      </w:pPr>
    </w:p>
    <w:p w14:paraId="10B5F4B1">
      <w:pPr>
        <w:pBdr>
          <w:bottom w:val="single" w:color="2E75B6" w:sz="6" w:space="4"/>
        </w:pBdr>
        <w:spacing w:before="320" w:after="100"/>
      </w:pPr>
      <w:r>
        <w:rPr>
          <w:rFonts w:ascii="Arial" w:hAnsi="Arial" w:eastAsia="Arial" w:cs="Arial"/>
          <w:b/>
          <w:bCs/>
          <w:color w:val="1F4E79"/>
          <w:sz w:val="28"/>
          <w:szCs w:val="28"/>
        </w:rPr>
        <w:t>Abstract</w:t>
      </w:r>
    </w:p>
    <w:p w14:paraId="20C0113A">
      <w:pPr>
        <w:spacing w:before="80" w:after="80"/>
      </w:pPr>
      <w:r>
        <w:rPr>
          <w:rFonts w:ascii="Arial" w:hAnsi="Arial" w:eastAsia="Arial" w:cs="Arial"/>
          <w:sz w:val="21"/>
          <w:szCs w:val="21"/>
        </w:rPr>
        <w:t>Training large language models from scratch on commodity hardware presents significant engineering and research challenges. This work documents the implementation and training of a 270M parameter decoder-only Transformer replicating a Gemma-style architecture — including Grouped Query Attention (GQA), Rotary Positional Embeddings (RoPE), RMSNorm, and a GELU-based gated feed-forward network — trained entirely from scratch on the TinyStories dataset using a single NVIDIA T4 GPU (16GB VRAM). We report a final validation loss of 2.3083 at 29,000 training steps, sustained GPU utilization of ~100%, and a training throughput of approximately 8,000 tokens per second at ~9GB VRAM usage. We discuss the key engineering decisions that enabled stable training under memory constraints, including mixed precision (AMP), cosine learning rate scheduling with warmup, gradient accumulation, and resume-capable checkpointing. The trained model is deployed via a FastAPI inference API. All code, training logs, and model weights are publicly available.</w:t>
      </w:r>
    </w:p>
    <w:p w14:paraId="65A54613">
      <w:pPr>
        <w:pBdr>
          <w:bottom w:val="single" w:color="2E75B6" w:sz="6" w:space="4"/>
        </w:pBdr>
        <w:spacing w:before="320" w:after="100"/>
      </w:pPr>
      <w:r>
        <w:rPr>
          <w:rFonts w:ascii="Arial" w:hAnsi="Arial" w:eastAsia="Arial" w:cs="Arial"/>
          <w:b/>
          <w:bCs/>
          <w:color w:val="1F4E79"/>
          <w:sz w:val="28"/>
          <w:szCs w:val="28"/>
        </w:rPr>
        <w:t>1. Introduction</w:t>
      </w:r>
    </w:p>
    <w:p w14:paraId="1213F380">
      <w:pPr>
        <w:spacing w:before="60" w:after="60"/>
      </w:pPr>
      <w:r>
        <w:rPr>
          <w:rFonts w:ascii="Arial" w:hAnsi="Arial" w:eastAsia="Arial" w:cs="Arial"/>
          <w:sz w:val="21"/>
          <w:szCs w:val="21"/>
        </w:rPr>
        <w:t>Large-scale language models have transformed natural language processing, but the dominant paradigm in the research community increasingly relies on fine-tuning pre-trained models rather than training from scratch. While fine-tuning is practical, it conceals the fundamental mechanics of Transformer training — architecture implementation, optimization loop design, memory management, and convergence behavior — which are essential knowledge for researchers aiming to advance the field.</w:t>
      </w:r>
    </w:p>
    <w:p w14:paraId="3FC5E966">
      <w:pPr>
        <w:spacing w:before="80" w:after="0"/>
      </w:pPr>
    </w:p>
    <w:p w14:paraId="2C1FE994">
      <w:pPr>
        <w:spacing w:before="60" w:after="60"/>
      </w:pPr>
      <w:r>
        <w:rPr>
          <w:rFonts w:ascii="Arial" w:hAnsi="Arial" w:eastAsia="Arial" w:cs="Arial"/>
          <w:sz w:val="21"/>
          <w:szCs w:val="21"/>
        </w:rPr>
        <w:t>This work takes the opposite approach: we implement and train a 270M parameter Gemma-style decoder-only Transformer entirely from scratch, without relying on pre-built model libraries such as HuggingFace Transformers. Our goals are threefold: (1) to demonstrate that meaningful large-scale language model training is achievable on a single commodity GPU, (2) to document the engineering decisions that enable stable training under VRAM constraints, and (3) to provide a reproducible baseline for researchers working in low-resource compute environments.</w:t>
      </w:r>
    </w:p>
    <w:p w14:paraId="4FE4D4B2">
      <w:pPr>
        <w:spacing w:before="80" w:after="0"/>
      </w:pPr>
    </w:p>
    <w:p w14:paraId="2CE93F7A">
      <w:pPr>
        <w:spacing w:before="60" w:after="60"/>
        <w:rPr>
          <w:rFonts w:ascii="Arial" w:hAnsi="Arial" w:eastAsia="Arial" w:cs="Arial"/>
          <w:sz w:val="21"/>
          <w:szCs w:val="21"/>
        </w:rPr>
      </w:pPr>
      <w:r>
        <w:rPr>
          <w:rFonts w:ascii="Arial" w:hAnsi="Arial" w:eastAsia="Arial" w:cs="Arial"/>
          <w:sz w:val="21"/>
          <w:szCs w:val="21"/>
        </w:rPr>
        <w:t>We train on the TinyStories dataset — a corpus of short English stories designed to evaluate the language modeling capabilities of small models — and evaluate model quality via validation loss. The final model achieves a validation loss of 2.3083, indicating successful learning of English language structure and narrative patterns within the training distribution.</w:t>
      </w:r>
    </w:p>
    <w:p w14:paraId="0FA21DB9">
      <w:pPr>
        <w:spacing w:before="60" w:after="60"/>
        <w:rPr>
          <w:rFonts w:ascii="Arial" w:hAnsi="Arial" w:eastAsia="Arial" w:cs="Arial"/>
          <w:sz w:val="21"/>
          <w:szCs w:val="21"/>
        </w:rPr>
      </w:pPr>
    </w:p>
    <w:p w14:paraId="501990BA">
      <w:pPr>
        <w:pBdr>
          <w:bottom w:val="single" w:color="2E75B6" w:sz="6" w:space="4"/>
        </w:pBdr>
        <w:spacing w:before="320" w:after="100"/>
      </w:pPr>
      <w:r>
        <w:rPr>
          <w:rFonts w:ascii="Arial" w:hAnsi="Arial" w:eastAsia="Arial" w:cs="Arial"/>
          <w:b/>
          <w:bCs/>
          <w:color w:val="1F4E79"/>
          <w:sz w:val="28"/>
          <w:szCs w:val="28"/>
        </w:rPr>
        <w:t>2. Model Architecture</w:t>
      </w:r>
    </w:p>
    <w:p w14:paraId="6A141B91">
      <w:pPr>
        <w:spacing w:before="60" w:after="60"/>
      </w:pPr>
      <w:r>
        <w:rPr>
          <w:rFonts w:ascii="Arial" w:hAnsi="Arial" w:eastAsia="Arial" w:cs="Arial"/>
          <w:sz w:val="21"/>
          <w:szCs w:val="21"/>
        </w:rPr>
        <w:t>Rather than replicating a standard GPT-style architecture, we implement a Gemma-style decoder — a modern, efficiency-focused variant that incorporates several architectural improvements over the original Transformer decoder.</w:t>
      </w:r>
    </w:p>
    <w:p w14:paraId="5672B081">
      <w:pPr>
        <w:spacing w:before="80" w:after="0"/>
      </w:pPr>
    </w:p>
    <w:p w14:paraId="04C69789">
      <w:pPr>
        <w:spacing w:before="200" w:after="80"/>
      </w:pPr>
      <w:r>
        <w:rPr>
          <w:rFonts w:ascii="Arial" w:hAnsi="Arial" w:eastAsia="Arial" w:cs="Arial"/>
          <w:b/>
          <w:bCs/>
          <w:color w:val="1F4E79"/>
          <w:sz w:val="24"/>
          <w:szCs w:val="24"/>
        </w:rPr>
        <w:t>2.1 Architecture Specifications</w:t>
      </w:r>
    </w:p>
    <w:p w14:paraId="1B9F174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0057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DFC23D">
            <w:r>
              <w:rPr>
                <w:rFonts w:ascii="Arial" w:hAnsi="Arial" w:eastAsia="Arial" w:cs="Arial"/>
                <w:b/>
                <w:bCs/>
                <w:sz w:val="20"/>
                <w:szCs w:val="20"/>
              </w:rPr>
              <w:t>Total Parameters</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843427">
            <w:r>
              <w:rPr>
                <w:rFonts w:ascii="Arial" w:hAnsi="Arial" w:eastAsia="Arial" w:cs="Arial"/>
                <w:sz w:val="20"/>
                <w:szCs w:val="20"/>
              </w:rPr>
              <w:t>~270 Million</w:t>
            </w:r>
          </w:p>
        </w:tc>
      </w:tr>
      <w:tr w14:paraId="6A29B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3B3483">
            <w:r>
              <w:rPr>
                <w:rFonts w:ascii="Arial" w:hAnsi="Arial" w:eastAsia="Arial" w:cs="Arial"/>
                <w:b/>
                <w:bCs/>
                <w:sz w:val="20"/>
                <w:szCs w:val="20"/>
              </w:rPr>
              <w:t>Architecture Style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502F2A">
            <w:r>
              <w:rPr>
                <w:rFonts w:ascii="Arial" w:hAnsi="Arial" w:eastAsia="Arial" w:cs="Arial"/>
                <w:sz w:val="20"/>
                <w:szCs w:val="20"/>
              </w:rPr>
              <w:t>Gemma-style Decoder-Only Transformer</w:t>
            </w:r>
          </w:p>
        </w:tc>
      </w:tr>
      <w:tr w14:paraId="70C4A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5F6A18">
            <w:r>
              <w:rPr>
                <w:rFonts w:ascii="Arial" w:hAnsi="Arial" w:eastAsia="Arial" w:cs="Arial"/>
                <w:b/>
                <w:bCs/>
                <w:sz w:val="20"/>
                <w:szCs w:val="20"/>
              </w:rPr>
              <w:t>Normalization</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835EBF6">
            <w:r>
              <w:rPr>
                <w:rFonts w:ascii="Arial" w:hAnsi="Arial" w:eastAsia="Arial" w:cs="Arial"/>
                <w:sz w:val="20"/>
                <w:szCs w:val="20"/>
              </w:rPr>
              <w:t>RMSNorm (zero-centered scaling)</w:t>
            </w:r>
          </w:p>
        </w:tc>
      </w:tr>
      <w:tr w14:paraId="6DF65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D7CB8B">
            <w:r>
              <w:rPr>
                <w:rFonts w:ascii="Arial" w:hAnsi="Arial" w:eastAsia="Arial" w:cs="Arial"/>
                <w:b/>
                <w:bCs/>
                <w:sz w:val="20"/>
                <w:szCs w:val="20"/>
              </w:rPr>
              <w:t>Attention Mechanism</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68C75B">
            <w:r>
              <w:rPr>
                <w:rFonts w:ascii="Arial" w:hAnsi="Arial" w:eastAsia="Arial" w:cs="Arial"/>
                <w:sz w:val="20"/>
                <w:szCs w:val="20"/>
              </w:rPr>
              <w:t>Grouped Query Attention (GQA)</w:t>
            </w:r>
          </w:p>
        </w:tc>
      </w:tr>
      <w:tr w14:paraId="40E5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1F4D91">
            <w:r>
              <w:rPr>
                <w:rFonts w:ascii="Arial" w:hAnsi="Arial" w:eastAsia="Arial" w:cs="Arial"/>
                <w:b/>
                <w:bCs/>
                <w:sz w:val="20"/>
                <w:szCs w:val="20"/>
              </w:rPr>
              <w:t>Positional Encoding</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0075E2">
            <w:r>
              <w:rPr>
                <w:rFonts w:ascii="Arial" w:hAnsi="Arial" w:eastAsia="Arial" w:cs="Arial"/>
                <w:sz w:val="20"/>
                <w:szCs w:val="20"/>
              </w:rPr>
              <w:t>Rotary Positional Embeddings (RoPE) — local + global</w:t>
            </w:r>
          </w:p>
        </w:tc>
      </w:tr>
      <w:tr w14:paraId="06C5D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45D2B1">
            <w:r>
              <w:rPr>
                <w:rFonts w:ascii="Arial" w:hAnsi="Arial" w:eastAsia="Arial" w:cs="Arial"/>
                <w:b/>
                <w:bCs/>
                <w:sz w:val="20"/>
                <w:szCs w:val="20"/>
              </w:rPr>
              <w:t>Attention Pattern</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174228">
            <w:r>
              <w:rPr>
                <w:rFonts w:ascii="Arial" w:hAnsi="Arial" w:eastAsia="Arial" w:cs="Arial"/>
                <w:sz w:val="20"/>
                <w:szCs w:val="20"/>
              </w:rPr>
              <w:t>Sliding window + full attention layers</w:t>
            </w:r>
          </w:p>
        </w:tc>
      </w:tr>
      <w:tr w14:paraId="2638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CD797A">
            <w:r>
              <w:rPr>
                <w:rFonts w:ascii="Arial" w:hAnsi="Arial" w:eastAsia="Arial" w:cs="Arial"/>
                <w:b/>
                <w:bCs/>
                <w:sz w:val="20"/>
                <w:szCs w:val="20"/>
              </w:rPr>
              <w:t>Feed-Forward Network</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112A20">
            <w:r>
              <w:rPr>
                <w:rFonts w:ascii="Arial" w:hAnsi="Arial" w:eastAsia="Arial" w:cs="Arial"/>
                <w:sz w:val="20"/>
                <w:szCs w:val="20"/>
              </w:rPr>
              <w:t>GELU-based gated FFN (SwiGLU-style)</w:t>
            </w:r>
          </w:p>
        </w:tc>
      </w:tr>
      <w:tr w14:paraId="6193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6D287F">
            <w:r>
              <w:rPr>
                <w:rFonts w:ascii="Arial" w:hAnsi="Arial" w:eastAsia="Arial" w:cs="Arial"/>
                <w:b/>
                <w:bCs/>
                <w:sz w:val="20"/>
                <w:szCs w:val="20"/>
              </w:rPr>
              <w:t>Context Length</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96E9E6">
            <w:r>
              <w:rPr>
                <w:rFonts w:ascii="Arial" w:hAnsi="Arial" w:eastAsia="Arial" w:cs="Arial"/>
                <w:sz w:val="20"/>
                <w:szCs w:val="20"/>
              </w:rPr>
              <w:t>128 tokens</w:t>
            </w:r>
          </w:p>
        </w:tc>
      </w:tr>
    </w:tbl>
    <w:p w14:paraId="58B06EAB">
      <w:pPr>
        <w:spacing w:before="80" w:after="0"/>
      </w:pPr>
    </w:p>
    <w:p w14:paraId="4C429C49">
      <w:pPr>
        <w:spacing w:before="200" w:after="80"/>
      </w:pPr>
      <w:r>
        <w:rPr>
          <w:rFonts w:ascii="Arial" w:hAnsi="Arial" w:eastAsia="Arial" w:cs="Arial"/>
          <w:b/>
          <w:bCs/>
          <w:color w:val="1F4E79"/>
          <w:sz w:val="24"/>
          <w:szCs w:val="24"/>
        </w:rPr>
        <w:t>2.2 Key Architectural Choices</w:t>
      </w:r>
    </w:p>
    <w:p w14:paraId="2AF6F049">
      <w:pPr>
        <w:spacing w:before="60" w:after="60"/>
      </w:pPr>
      <w:r>
        <w:rPr>
          <w:rFonts w:ascii="Arial" w:hAnsi="Arial" w:eastAsia="Arial" w:cs="Arial"/>
          <w:sz w:val="21"/>
          <w:szCs w:val="21"/>
        </w:rPr>
        <w:t>Several design decisions differentiate this architecture from vanilla Transformer implementations:</w:t>
      </w:r>
    </w:p>
    <w:p w14:paraId="0E87BD2B">
      <w:pPr>
        <w:spacing w:before="80" w:after="0"/>
      </w:pPr>
    </w:p>
    <w:p w14:paraId="142DABF7">
      <w:pPr>
        <w:pStyle w:val="16"/>
        <w:numPr>
          <w:ilvl w:val="0"/>
          <w:numId w:val="1"/>
        </w:numPr>
        <w:spacing w:before="40" w:after="40"/>
      </w:pPr>
      <w:r>
        <w:rPr>
          <w:rFonts w:ascii="Arial" w:hAnsi="Arial" w:eastAsia="Arial" w:cs="Arial"/>
          <w:sz w:val="21"/>
          <w:szCs w:val="21"/>
        </w:rPr>
        <w:t>RMSNorm replaces LayerNorm for improved training stability and reduced computational cost. Unlike LayerNorm, RMSNorm omits the mean-centering step, relying solely on root mean square scaling.</w:t>
      </w:r>
    </w:p>
    <w:p w14:paraId="6119EB68">
      <w:pPr>
        <w:pStyle w:val="16"/>
        <w:numPr>
          <w:ilvl w:val="0"/>
          <w:numId w:val="1"/>
        </w:numPr>
        <w:spacing w:before="40" w:after="40"/>
      </w:pPr>
      <w:r>
        <w:rPr>
          <w:rFonts w:ascii="Arial" w:hAnsi="Arial" w:eastAsia="Arial" w:cs="Arial"/>
          <w:sz w:val="21"/>
          <w:szCs w:val="21"/>
        </w:rPr>
        <w:t>Grouped Query Attention (GQA) reduces the memory footprint of the key-value cache by sharing key and value projections across multiple query heads, enabling efficient attention computation at scale.</w:t>
      </w:r>
    </w:p>
    <w:p w14:paraId="55D717B8">
      <w:pPr>
        <w:pStyle w:val="16"/>
        <w:numPr>
          <w:ilvl w:val="0"/>
          <w:numId w:val="1"/>
        </w:numPr>
        <w:spacing w:before="40" w:after="40"/>
      </w:pPr>
      <w:r>
        <w:rPr>
          <w:rFonts w:ascii="Arial" w:hAnsi="Arial" w:eastAsia="Arial" w:cs="Arial"/>
          <w:sz w:val="21"/>
          <w:szCs w:val="21"/>
        </w:rPr>
        <w:t>Rotary Positional Embeddings (RoPE) encode positional information directly into the attention computation via rotation matrices applied to query and key vectors. We use a hybrid scheme with local RoPE for short-range dependencies and global RoPE for longer-range context.</w:t>
      </w:r>
    </w:p>
    <w:p w14:paraId="2333824D">
      <w:pPr>
        <w:pStyle w:val="16"/>
        <w:numPr>
          <w:ilvl w:val="0"/>
          <w:numId w:val="1"/>
        </w:numPr>
        <w:spacing w:before="40" w:after="40"/>
      </w:pPr>
      <w:r>
        <w:rPr>
          <w:rFonts w:ascii="Arial" w:hAnsi="Arial" w:eastAsia="Arial" w:cs="Arial"/>
          <w:sz w:val="21"/>
          <w:szCs w:val="21"/>
        </w:rPr>
        <w:t>Sliding window attention limits the attention span of some layers to a local window, reducing the quadratic memory cost of full attention while retaining global attention in select layers for long-range coherence.</w:t>
      </w:r>
    </w:p>
    <w:p w14:paraId="39AC0051">
      <w:pPr>
        <w:pBdr>
          <w:bottom w:val="single" w:color="2E75B6" w:sz="6" w:space="4"/>
        </w:pBdr>
        <w:spacing w:before="320" w:after="100"/>
      </w:pPr>
      <w:r>
        <w:rPr>
          <w:rFonts w:ascii="Arial" w:hAnsi="Arial" w:eastAsia="Arial" w:cs="Arial"/>
          <w:b/>
          <w:bCs/>
          <w:color w:val="1F4E79"/>
          <w:sz w:val="28"/>
          <w:szCs w:val="28"/>
        </w:rPr>
        <w:t>3. Training Setup</w:t>
      </w:r>
    </w:p>
    <w:p w14:paraId="38A63049">
      <w:pPr>
        <w:spacing w:before="200" w:after="80"/>
      </w:pPr>
      <w:r>
        <w:rPr>
          <w:rFonts w:ascii="Arial" w:hAnsi="Arial" w:eastAsia="Arial" w:cs="Arial"/>
          <w:b/>
          <w:bCs/>
          <w:color w:val="1F4E79"/>
          <w:sz w:val="24"/>
          <w:szCs w:val="24"/>
        </w:rPr>
        <w:t>3.1 Dataset</w:t>
      </w:r>
    </w:p>
    <w:p w14:paraId="37D5CC8E">
      <w:pPr>
        <w:spacing w:before="60" w:after="60"/>
      </w:pPr>
      <w:r>
        <w:rPr>
          <w:rFonts w:ascii="Arial" w:hAnsi="Arial" w:eastAsia="Arial" w:cs="Arial"/>
          <w:sz w:val="21"/>
          <w:szCs w:val="21"/>
        </w:rPr>
        <w:t>The model was trained on the TinyStories dataset, a synthetically generated corpus of short English stories designed specifically for evaluating small language models. TinyStories contains stories written using a simple vocabulary and sentence structure, making it suitable for assessing whether a model has learned basic language modeling capabilities including grammar, coherence, and narrative structure.</w:t>
      </w:r>
    </w:p>
    <w:p w14:paraId="65D1DAEE">
      <w:pPr>
        <w:spacing w:before="80" w:after="0"/>
      </w:pPr>
    </w:p>
    <w:p w14:paraId="484FB266">
      <w:pPr>
        <w:spacing w:before="200" w:after="80"/>
      </w:pPr>
      <w:r>
        <w:rPr>
          <w:rFonts w:ascii="Arial" w:hAnsi="Arial" w:eastAsia="Arial" w:cs="Arial"/>
          <w:b/>
          <w:bCs/>
          <w:color w:val="1F4E79"/>
          <w:sz w:val="24"/>
          <w:szCs w:val="24"/>
        </w:rPr>
        <w:t>3.2 Training Configuration</w:t>
      </w:r>
    </w:p>
    <w:p w14:paraId="2BFA230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59827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776728">
            <w:r>
              <w:rPr>
                <w:rFonts w:ascii="Arial" w:hAnsi="Arial" w:eastAsia="Arial" w:cs="Arial"/>
                <w:b/>
                <w:bCs/>
                <w:sz w:val="20"/>
                <w:szCs w:val="20"/>
              </w:rPr>
              <w:t>Dataset</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869076">
            <w:r>
              <w:rPr>
                <w:rFonts w:ascii="Arial" w:hAnsi="Arial" w:eastAsia="Arial" w:cs="Arial"/>
                <w:sz w:val="20"/>
                <w:szCs w:val="20"/>
              </w:rPr>
              <w:t>TinyStories</w:t>
            </w:r>
          </w:p>
        </w:tc>
      </w:tr>
      <w:tr w14:paraId="74E7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5ABA2E">
            <w:r>
              <w:rPr>
                <w:rFonts w:ascii="Arial" w:hAnsi="Arial" w:eastAsia="Arial" w:cs="Arial"/>
                <w:b/>
                <w:bCs/>
                <w:sz w:val="20"/>
                <w:szCs w:val="20"/>
              </w:rPr>
              <w:t>Hardware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78B8D5">
            <w:r>
              <w:rPr>
                <w:rFonts w:ascii="Arial" w:hAnsi="Arial" w:eastAsia="Arial" w:cs="Arial"/>
                <w:sz w:val="20"/>
                <w:szCs w:val="20"/>
              </w:rPr>
              <w:t>1x NVIDIA T4 GPU (16GB VRAM)</w:t>
            </w:r>
          </w:p>
        </w:tc>
      </w:tr>
      <w:tr w14:paraId="25E9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ACA981">
            <w:r>
              <w:rPr>
                <w:rFonts w:ascii="Arial" w:hAnsi="Arial" w:eastAsia="Arial" w:cs="Arial"/>
                <w:b/>
                <w:bCs/>
                <w:sz w:val="20"/>
                <w:szCs w:val="20"/>
              </w:rPr>
              <w:t>Training Steps</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3FFBC2">
            <w:r>
              <w:rPr>
                <w:rFonts w:ascii="Arial" w:hAnsi="Arial" w:eastAsia="Arial" w:cs="Arial"/>
                <w:sz w:val="20"/>
                <w:szCs w:val="20"/>
              </w:rPr>
              <w:t>29,000</w:t>
            </w:r>
          </w:p>
        </w:tc>
      </w:tr>
      <w:tr w14:paraId="1D38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EFA0C6">
            <w:r>
              <w:rPr>
                <w:rFonts w:ascii="Arial" w:hAnsi="Arial" w:eastAsia="Arial" w:cs="Arial"/>
                <w:b/>
                <w:bCs/>
                <w:sz w:val="20"/>
                <w:szCs w:val="20"/>
              </w:rPr>
              <w:t>Batch Size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98A6FD">
            <w:r>
              <w:rPr>
                <w:rFonts w:ascii="Arial" w:hAnsi="Arial" w:eastAsia="Arial" w:cs="Arial"/>
                <w:sz w:val="20"/>
                <w:szCs w:val="20"/>
              </w:rPr>
              <w:t>32</w:t>
            </w:r>
          </w:p>
        </w:tc>
      </w:tr>
      <w:tr w14:paraId="32382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514D9A">
            <w:r>
              <w:rPr>
                <w:rFonts w:ascii="Arial" w:hAnsi="Arial" w:eastAsia="Arial" w:cs="Arial"/>
                <w:b/>
                <w:bCs/>
                <w:sz w:val="20"/>
                <w:szCs w:val="20"/>
              </w:rPr>
              <w:t>Gradient Accumulation Steps</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7754D4">
            <w:r>
              <w:rPr>
                <w:rFonts w:ascii="Arial" w:hAnsi="Arial" w:eastAsia="Arial" w:cs="Arial"/>
                <w:sz w:val="20"/>
                <w:szCs w:val="20"/>
              </w:rPr>
              <w:t>2 (effective batch size: 64)</w:t>
            </w:r>
          </w:p>
        </w:tc>
      </w:tr>
      <w:tr w14:paraId="60F3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13ED0B">
            <w:r>
              <w:rPr>
                <w:rFonts w:ascii="Arial" w:hAnsi="Arial" w:eastAsia="Arial" w:cs="Arial"/>
                <w:b/>
                <w:bCs/>
                <w:sz w:val="20"/>
                <w:szCs w:val="20"/>
              </w:rPr>
              <w:t>Context Length (Block Size)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037A31">
            <w:r>
              <w:rPr>
                <w:rFonts w:ascii="Arial" w:hAnsi="Arial" w:eastAsia="Arial" w:cs="Arial"/>
                <w:sz w:val="20"/>
                <w:szCs w:val="20"/>
              </w:rPr>
              <w:t>128 tokens</w:t>
            </w:r>
          </w:p>
        </w:tc>
      </w:tr>
      <w:tr w14:paraId="0FD3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314138B">
            <w:r>
              <w:rPr>
                <w:rFonts w:ascii="Arial" w:hAnsi="Arial" w:eastAsia="Arial" w:cs="Arial"/>
                <w:b/>
                <w:bCs/>
                <w:sz w:val="20"/>
                <w:szCs w:val="20"/>
              </w:rPr>
              <w:t>Optimizer</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4B22CB">
            <w:r>
              <w:rPr>
                <w:rFonts w:ascii="Arial" w:hAnsi="Arial" w:eastAsia="Arial" w:cs="Arial"/>
                <w:sz w:val="20"/>
                <w:szCs w:val="20"/>
              </w:rPr>
              <w:t>AdamW</w:t>
            </w:r>
          </w:p>
        </w:tc>
      </w:tr>
      <w:tr w14:paraId="62785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05429C">
            <w:r>
              <w:rPr>
                <w:rFonts w:ascii="Arial" w:hAnsi="Arial" w:eastAsia="Arial" w:cs="Arial"/>
                <w:b/>
                <w:bCs/>
                <w:sz w:val="20"/>
                <w:szCs w:val="20"/>
              </w:rPr>
              <w:t>Learning Rate Schedule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CA7C33">
            <w:r>
              <w:rPr>
                <w:rFonts w:ascii="Arial" w:hAnsi="Arial" w:eastAsia="Arial" w:cs="Arial"/>
                <w:sz w:val="20"/>
                <w:szCs w:val="20"/>
              </w:rPr>
              <w:t>Cosine decay with linear warmup</w:t>
            </w:r>
          </w:p>
        </w:tc>
      </w:tr>
      <w:tr w14:paraId="60F0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EE05B1">
            <w:r>
              <w:rPr>
                <w:rFonts w:ascii="Arial" w:hAnsi="Arial" w:eastAsia="Arial" w:cs="Arial"/>
                <w:b/>
                <w:bCs/>
                <w:sz w:val="20"/>
                <w:szCs w:val="20"/>
              </w:rPr>
              <w:t>Precision</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131A0B">
            <w:r>
              <w:rPr>
                <w:rFonts w:ascii="Arial" w:hAnsi="Arial" w:eastAsia="Arial" w:cs="Arial"/>
                <w:sz w:val="20"/>
                <w:szCs w:val="20"/>
              </w:rPr>
              <w:t>Mixed Precision (AMP — fp16)</w:t>
            </w:r>
          </w:p>
        </w:tc>
      </w:tr>
      <w:tr w14:paraId="0B38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C61163">
            <w:r>
              <w:rPr>
                <w:rFonts w:ascii="Arial" w:hAnsi="Arial" w:eastAsia="Arial" w:cs="Arial"/>
                <w:b/>
                <w:bCs/>
                <w:sz w:val="20"/>
                <w:szCs w:val="20"/>
              </w:rPr>
              <w:t>Gradient Clipping</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8BB641">
            <w:r>
              <w:rPr>
                <w:rFonts w:ascii="Arial" w:hAnsi="Arial" w:eastAsia="Arial" w:cs="Arial"/>
                <w:sz w:val="20"/>
                <w:szCs w:val="20"/>
              </w:rPr>
              <w:t>Max norm = 1.0</w:t>
            </w:r>
          </w:p>
        </w:tc>
      </w:tr>
      <w:tr w14:paraId="154E1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149DCD">
            <w:r>
              <w:rPr>
                <w:rFonts w:ascii="Arial" w:hAnsi="Arial" w:eastAsia="Arial" w:cs="Arial"/>
                <w:b/>
                <w:bCs/>
                <w:sz w:val="20"/>
                <w:szCs w:val="20"/>
              </w:rPr>
              <w:t>Checkpointing</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702F52">
            <w:r>
              <w:rPr>
                <w:rFonts w:ascii="Arial" w:hAnsi="Arial" w:eastAsia="Arial" w:cs="Arial"/>
                <w:sz w:val="20"/>
                <w:szCs w:val="20"/>
              </w:rPr>
              <w:t>Resume-capable (every N steps)</w:t>
            </w:r>
          </w:p>
        </w:tc>
      </w:tr>
    </w:tbl>
    <w:p w14:paraId="43E10C83">
      <w:pPr>
        <w:spacing w:before="80" w:after="0"/>
      </w:pPr>
    </w:p>
    <w:p w14:paraId="5E4309CB">
      <w:pPr>
        <w:spacing w:before="200" w:after="80"/>
      </w:pPr>
      <w:r>
        <w:rPr>
          <w:rFonts w:ascii="Arial" w:hAnsi="Arial" w:eastAsia="Arial" w:cs="Arial"/>
          <w:b/>
          <w:bCs/>
          <w:color w:val="1F4E79"/>
          <w:sz w:val="24"/>
          <w:szCs w:val="24"/>
        </w:rPr>
        <w:t>3.3 Memory Management Strategy</w:t>
      </w:r>
    </w:p>
    <w:p w14:paraId="15B12A18">
      <w:pPr>
        <w:spacing w:before="60" w:after="60"/>
      </w:pPr>
      <w:r>
        <w:rPr>
          <w:rFonts w:ascii="Arial" w:hAnsi="Arial" w:eastAsia="Arial" w:cs="Arial"/>
          <w:sz w:val="21"/>
          <w:szCs w:val="21"/>
        </w:rPr>
        <w:t>Training a 270M parameter model on a single T4 GPU requires careful memory management. The following strategies were employed:</w:t>
      </w:r>
    </w:p>
    <w:p w14:paraId="32BF806D">
      <w:pPr>
        <w:pStyle w:val="16"/>
        <w:numPr>
          <w:ilvl w:val="0"/>
          <w:numId w:val="1"/>
        </w:numPr>
        <w:spacing w:before="40" w:after="40"/>
      </w:pPr>
      <w:r>
        <w:rPr>
          <w:rFonts w:ascii="Arial" w:hAnsi="Arial" w:eastAsia="Arial" w:cs="Arial"/>
          <w:sz w:val="21"/>
          <w:szCs w:val="21"/>
        </w:rPr>
        <w:t>Mixed Precision Training (AMP): Forward and backward passes computed in fp16, with optimizer states maintained in fp32 for numerical stability. This reduced VRAM usage by approximately 35-40% compared to full fp32 training.</w:t>
      </w:r>
    </w:p>
    <w:p w14:paraId="5AC06959">
      <w:pPr>
        <w:pStyle w:val="16"/>
        <w:numPr>
          <w:ilvl w:val="0"/>
          <w:numId w:val="1"/>
        </w:numPr>
        <w:spacing w:before="40" w:after="40"/>
      </w:pPr>
      <w:r>
        <w:rPr>
          <w:rFonts w:ascii="Arial" w:hAnsi="Arial" w:eastAsia="Arial" w:cs="Arial"/>
          <w:sz w:val="21"/>
          <w:szCs w:val="21"/>
        </w:rPr>
        <w:t>Gradient Accumulation: Gradients accumulated over 2 steps before each optimizer update, achieving an effective batch size of 64 while physically loading only 32 samples per step.</w:t>
      </w:r>
    </w:p>
    <w:p w14:paraId="5624D941">
      <w:pPr>
        <w:pStyle w:val="16"/>
        <w:numPr>
          <w:ilvl w:val="0"/>
          <w:numId w:val="1"/>
        </w:numPr>
        <w:spacing w:before="40" w:after="40"/>
      </w:pPr>
      <w:r>
        <w:rPr>
          <w:rFonts w:ascii="Arial" w:hAnsi="Arial" w:eastAsia="Arial" w:cs="Arial"/>
          <w:sz w:val="21"/>
          <w:szCs w:val="21"/>
        </w:rPr>
        <w:t>Sliding Window Attention: Local attention windows in select layers reduced peak memory during the attention computation, which otherwise scales quadratically with sequence length.</w:t>
      </w:r>
    </w:p>
    <w:p w14:paraId="67688F2B">
      <w:pPr>
        <w:pStyle w:val="16"/>
        <w:numPr>
          <w:ilvl w:val="0"/>
          <w:numId w:val="1"/>
        </w:numPr>
        <w:spacing w:before="40" w:after="40"/>
      </w:pPr>
      <w:r>
        <w:rPr>
          <w:rFonts w:ascii="Arial" w:hAnsi="Arial" w:eastAsia="Arial" w:cs="Arial"/>
          <w:sz w:val="21"/>
          <w:szCs w:val="21"/>
        </w:rPr>
        <w:t>Resume-Capable Checkpointing: Model weights, optimizer states, and scheduler states saved periodically, enabling training recovery from interruptions without loss of progress.</w:t>
      </w:r>
    </w:p>
    <w:p w14:paraId="30B4EA52">
      <w:pPr>
        <w:pBdr>
          <w:bottom w:val="single" w:color="2E75B6" w:sz="6" w:space="4"/>
        </w:pBdr>
        <w:spacing w:before="320" w:after="100"/>
      </w:pPr>
      <w:r>
        <w:rPr>
          <w:rFonts w:ascii="Arial" w:hAnsi="Arial" w:eastAsia="Arial" w:cs="Arial"/>
          <w:b/>
          <w:bCs/>
          <w:color w:val="1F4E79"/>
          <w:sz w:val="28"/>
          <w:szCs w:val="28"/>
        </w:rPr>
        <w:t>4. Results</w:t>
      </w:r>
    </w:p>
    <w:p w14:paraId="0027C8F9">
      <w:pPr>
        <w:spacing w:before="200" w:after="80"/>
      </w:pPr>
      <w:r>
        <w:rPr>
          <w:rFonts w:ascii="Arial" w:hAnsi="Arial" w:eastAsia="Arial" w:cs="Arial"/>
          <w:b/>
          <w:bCs/>
          <w:color w:val="1F4E79"/>
          <w:sz w:val="24"/>
          <w:szCs w:val="24"/>
        </w:rPr>
        <w:t>4.1 Training Metrics</w:t>
      </w:r>
    </w:p>
    <w:p w14:paraId="5F5F437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05ED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C13EDB">
            <w:r>
              <w:rPr>
                <w:rFonts w:ascii="Arial" w:hAnsi="Arial" w:eastAsia="Arial" w:cs="Arial"/>
                <w:b/>
                <w:bCs/>
                <w:sz w:val="20"/>
                <w:szCs w:val="20"/>
              </w:rPr>
              <w:t>Final Validation Loss</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3C128F">
            <w:r>
              <w:rPr>
                <w:rFonts w:ascii="Arial" w:hAnsi="Arial" w:eastAsia="Arial" w:cs="Arial"/>
                <w:sz w:val="20"/>
                <w:szCs w:val="20"/>
              </w:rPr>
              <w:t>2.3083</w:t>
            </w:r>
          </w:p>
        </w:tc>
      </w:tr>
      <w:tr w14:paraId="155F2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B89D96">
            <w:r>
              <w:rPr>
                <w:rFonts w:ascii="Arial" w:hAnsi="Arial" w:eastAsia="Arial" w:cs="Arial"/>
                <w:b/>
                <w:bCs/>
                <w:sz w:val="20"/>
                <w:szCs w:val="20"/>
              </w:rPr>
              <w:t>Training Steps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5DE7EC">
            <w:r>
              <w:rPr>
                <w:rFonts w:ascii="Arial" w:hAnsi="Arial" w:eastAsia="Arial" w:cs="Arial"/>
                <w:sz w:val="20"/>
                <w:szCs w:val="20"/>
              </w:rPr>
              <w:t>29,000</w:t>
            </w:r>
          </w:p>
        </w:tc>
      </w:tr>
      <w:tr w14:paraId="4CB8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0DB182">
            <w:r>
              <w:rPr>
                <w:rFonts w:ascii="Arial" w:hAnsi="Arial" w:eastAsia="Arial" w:cs="Arial"/>
                <w:b/>
                <w:bCs/>
                <w:sz w:val="20"/>
                <w:szCs w:val="20"/>
              </w:rPr>
              <w:t>GPU Utilization</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657783">
            <w:r>
              <w:rPr>
                <w:rFonts w:ascii="Arial" w:hAnsi="Arial" w:eastAsia="Arial" w:cs="Arial"/>
                <w:sz w:val="20"/>
                <w:szCs w:val="20"/>
              </w:rPr>
              <w:t>~100%</w:t>
            </w:r>
          </w:p>
        </w:tc>
      </w:tr>
      <w:tr w14:paraId="64E9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1BDA40">
            <w:r>
              <w:rPr>
                <w:rFonts w:ascii="Arial" w:hAnsi="Arial" w:eastAsia="Arial" w:cs="Arial"/>
                <w:b/>
                <w:bCs/>
                <w:sz w:val="20"/>
                <w:szCs w:val="20"/>
              </w:rPr>
              <w:t>VRAM Usage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B73E9D">
            <w:r>
              <w:rPr>
                <w:rFonts w:ascii="Arial" w:hAnsi="Arial" w:eastAsia="Arial" w:cs="Arial"/>
                <w:sz w:val="20"/>
                <w:szCs w:val="20"/>
              </w:rPr>
              <w:t>~9GB / 16GB</w:t>
            </w:r>
          </w:p>
        </w:tc>
      </w:tr>
      <w:tr w14:paraId="0FC09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2561F05">
            <w:r>
              <w:rPr>
                <w:rFonts w:ascii="Arial" w:hAnsi="Arial" w:eastAsia="Arial" w:cs="Arial"/>
                <w:b/>
                <w:bCs/>
                <w:sz w:val="20"/>
                <w:szCs w:val="20"/>
              </w:rPr>
              <w:t>Training Throughput</w:t>
            </w:r>
          </w:p>
        </w:tc>
        <w:tc>
          <w:tcPr>
            <w:tcW w:w="5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D57E5F">
            <w:r>
              <w:rPr>
                <w:rFonts w:ascii="Arial" w:hAnsi="Arial" w:eastAsia="Arial" w:cs="Arial"/>
                <w:sz w:val="20"/>
                <w:szCs w:val="20"/>
              </w:rPr>
              <w:t>~8,000 tokens/second</w:t>
            </w:r>
          </w:p>
        </w:tc>
      </w:tr>
    </w:tbl>
    <w:p w14:paraId="20E5C8CF">
      <w:pPr>
        <w:spacing w:before="80" w:after="0"/>
      </w:pPr>
    </w:p>
    <w:p w14:paraId="26201570">
      <w:pPr>
        <w:spacing w:before="80" w:after="0"/>
      </w:pPr>
      <w:bookmarkStart w:id="0" w:name="_GoBack"/>
      <w:bookmarkEnd w:id="0"/>
    </w:p>
    <w:p w14:paraId="29F18150">
      <w:pPr>
        <w:spacing w:before="200" w:after="80"/>
      </w:pPr>
      <w:r>
        <w:rPr>
          <w:rFonts w:ascii="Arial" w:hAnsi="Arial" w:eastAsia="Arial" w:cs="Arial"/>
          <w:b/>
          <w:bCs/>
          <w:color w:val="1F4E79"/>
          <w:sz w:val="24"/>
          <w:szCs w:val="24"/>
        </w:rPr>
        <w:t>4.2 Loss Convergence</w:t>
      </w:r>
    </w:p>
    <w:p w14:paraId="142CDE38">
      <w:pPr>
        <w:spacing w:before="60" w:after="60"/>
      </w:pPr>
      <w:r>
        <w:rPr>
          <w:rFonts w:ascii="Arial" w:hAnsi="Arial" w:eastAsia="Arial" w:cs="Arial"/>
          <w:sz w:val="21"/>
          <w:szCs w:val="21"/>
        </w:rPr>
        <w:t>Training loss decreased consistently across all 29,000 steps, beginning near the theoretical upper bound for random prediction over the vocabulary and converging to a final validation loss of 2.3083. This value is competitive for a 270M parameter model trained on TinyStories from scratch on a single GPU, indicating that the model successfully learned the statistical structure of the training distribution.</w:t>
      </w:r>
    </w:p>
    <w:p w14:paraId="0BBB7A4A">
      <w:pPr>
        <w:spacing w:before="80" w:after="0"/>
      </w:pPr>
    </w:p>
    <w:p w14:paraId="364B7B9A">
      <w:pPr>
        <w:spacing w:before="60" w:after="60"/>
      </w:pPr>
      <w:r>
        <w:rPr>
          <w:rFonts w:ascii="Arial" w:hAnsi="Arial" w:eastAsia="Arial" w:cs="Arial"/>
          <w:sz w:val="21"/>
          <w:szCs w:val="21"/>
        </w:rPr>
        <w:t>The convergence was smooth throughout training with no significant loss spikes or divergence events, validating the stability of the chosen hyperparameter configuration — particularly the cosine learning rate schedule with warmup, which prevented large gradient updates in early training.</w:t>
      </w:r>
    </w:p>
    <w:p w14:paraId="001CA165">
      <w:pPr>
        <w:spacing w:before="80" w:after="0"/>
      </w:pPr>
    </w:p>
    <w:p w14:paraId="7C57E2FC">
      <w:pPr>
        <w:spacing w:before="200" w:after="80"/>
      </w:pPr>
      <w:r>
        <w:rPr>
          <w:rFonts w:ascii="Arial" w:hAnsi="Arial" w:eastAsia="Arial" w:cs="Arial"/>
          <w:b/>
          <w:bCs/>
          <w:color w:val="1F4E79"/>
          <w:sz w:val="24"/>
          <w:szCs w:val="24"/>
        </w:rPr>
        <w:t>4.3 Hardware Efficiency</w:t>
      </w:r>
    </w:p>
    <w:p w14:paraId="493291AD">
      <w:pPr>
        <w:spacing w:before="60" w:after="60"/>
      </w:pPr>
      <w:r>
        <w:rPr>
          <w:rFonts w:ascii="Arial" w:hAnsi="Arial" w:eastAsia="Arial" w:cs="Arial"/>
          <w:sz w:val="21"/>
          <w:szCs w:val="21"/>
        </w:rPr>
        <w:t>The training configuration achieved approximately 100% GPU utilization throughout the run, indicating that compute was the bottleneck rather than data loading or CPU preprocessing — a sign of an efficient training pipeline. VRAM usage of ~9GB out of 16GB available provides a comfortable safety margin while leaving room for potential scaling experiments.</w:t>
      </w:r>
    </w:p>
    <w:p w14:paraId="0276FAE5">
      <w:pPr>
        <w:spacing w:before="60" w:after="60"/>
      </w:pPr>
      <w:r>
        <w:rPr>
          <w:rFonts w:ascii="Arial" w:hAnsi="Arial" w:eastAsia="Arial" w:cs="Arial"/>
          <w:sz w:val="21"/>
          <w:szCs w:val="21"/>
        </w:rPr>
        <w:t>A throughput of ~8,000 tokens per second represents strong efficiency for a 270M parameter model on T4 hardware, enabled by the combination of mixed precision training and the memory-efficient GQA attention mechanism.</w:t>
      </w:r>
    </w:p>
    <w:p w14:paraId="0D4BCC55">
      <w:pPr>
        <w:pBdr>
          <w:bottom w:val="single" w:color="2E75B6" w:sz="6" w:space="4"/>
        </w:pBdr>
        <w:spacing w:before="320" w:after="100"/>
      </w:pPr>
      <w:r>
        <w:rPr>
          <w:rFonts w:ascii="Arial" w:hAnsi="Arial" w:eastAsia="Arial" w:cs="Arial"/>
          <w:b/>
          <w:bCs/>
          <w:color w:val="1F4E79"/>
          <w:sz w:val="28"/>
          <w:szCs w:val="28"/>
        </w:rPr>
        <w:t>5. Inference API</w:t>
      </w:r>
    </w:p>
    <w:p w14:paraId="5C81AF0A">
      <w:pPr>
        <w:spacing w:before="60" w:after="60"/>
      </w:pPr>
      <w:r>
        <w:rPr>
          <w:rFonts w:ascii="Arial" w:hAnsi="Arial" w:eastAsia="Arial" w:cs="Arial"/>
          <w:sz w:val="21"/>
          <w:szCs w:val="21"/>
        </w:rPr>
        <w:t>The trained model is wrapped in a FastAPI inference service, enabling programmatic access to model generation. The API accepts a text prompt and maximum token count, and returns autoregressive completions from the trained model.</w:t>
      </w:r>
    </w:p>
    <w:p w14:paraId="4F63FFC4">
      <w:pPr>
        <w:spacing w:before="80" w:after="0"/>
      </w:pPr>
    </w:p>
    <w:p w14:paraId="6F2FD23B">
      <w:pPr>
        <w:spacing w:before="60" w:after="60"/>
      </w:pPr>
      <w:r>
        <w:rPr>
          <w:rFonts w:ascii="Arial" w:hAnsi="Arial" w:eastAsia="Arial" w:cs="Arial"/>
          <w:sz w:val="21"/>
          <w:szCs w:val="21"/>
        </w:rPr>
        <w:t>A key engineering challenge in deploying the model was ensuring exact architectural consistency between the training-time model definition and the inference-time model definition — state_dict key mismatches are a common failure mode when the architecture is not modularized carefully. This was resolved through careful namespace management during both training and deployment.</w:t>
      </w:r>
    </w:p>
    <w:p w14:paraId="1FF58E34">
      <w:pPr>
        <w:pStyle w:val="16"/>
        <w:numPr>
          <w:ilvl w:val="0"/>
          <w:numId w:val="1"/>
        </w:numPr>
        <w:spacing w:before="40" w:after="40"/>
      </w:pPr>
      <w:r>
        <w:rPr>
          <w:rFonts w:ascii="Arial" w:hAnsi="Arial" w:eastAsia="Arial" w:cs="Arial"/>
          <w:sz w:val="21"/>
          <w:szCs w:val="21"/>
        </w:rPr>
        <w:t>The inference API is designed to run on CPU for accessibility, enabling deployment without GPU infrastructure.</w:t>
      </w:r>
    </w:p>
    <w:p w14:paraId="7BD00109">
      <w:pPr>
        <w:pStyle w:val="16"/>
        <w:numPr>
          <w:ilvl w:val="0"/>
          <w:numId w:val="1"/>
        </w:numPr>
        <w:spacing w:before="40" w:after="40"/>
      </w:pPr>
      <w:r>
        <w:rPr>
          <w:rFonts w:ascii="Arial" w:hAnsi="Arial" w:eastAsia="Arial" w:cs="Arial"/>
          <w:sz w:val="21"/>
          <w:szCs w:val="21"/>
        </w:rPr>
        <w:t>The API exposes an interactive documentation interface at /docs via FastAPI's built-in Swagger UI.</w:t>
      </w:r>
    </w:p>
    <w:p w14:paraId="6041011E">
      <w:pPr>
        <w:pStyle w:val="16"/>
        <w:numPr>
          <w:ilvl w:val="0"/>
          <w:numId w:val="1"/>
        </w:numPr>
        <w:spacing w:before="40" w:after="40"/>
      </w:pPr>
      <w:r>
        <w:rPr>
          <w:rFonts w:ascii="Arial" w:hAnsi="Arial" w:eastAsia="Arial" w:cs="Arial"/>
          <w:sz w:val="21"/>
          <w:szCs w:val="21"/>
        </w:rPr>
        <w:t>Model weights are available upon request and via the associated Kaggle notebook.</w:t>
      </w:r>
    </w:p>
    <w:p w14:paraId="5DB9DED3">
      <w:pPr>
        <w:pBdr>
          <w:bottom w:val="single" w:color="2E75B6" w:sz="6" w:space="4"/>
        </w:pBdr>
        <w:spacing w:before="320" w:after="100"/>
      </w:pPr>
      <w:r>
        <w:rPr>
          <w:rFonts w:ascii="Arial" w:hAnsi="Arial" w:eastAsia="Arial" w:cs="Arial"/>
          <w:b/>
          <w:bCs/>
          <w:color w:val="1F4E79"/>
          <w:sz w:val="28"/>
          <w:szCs w:val="28"/>
        </w:rPr>
        <w:t>6. Discussion</w:t>
      </w:r>
    </w:p>
    <w:p w14:paraId="2C7FB883">
      <w:pPr>
        <w:spacing w:before="60" w:after="60"/>
      </w:pPr>
      <w:r>
        <w:rPr>
          <w:rFonts w:ascii="Arial" w:hAnsi="Arial" w:eastAsia="Arial" w:cs="Arial"/>
          <w:sz w:val="21"/>
          <w:szCs w:val="21"/>
        </w:rPr>
        <w:t>This project demonstrates that implementing and training a production-quality language model architecture from scratch is achievable on commodity hardware within an academic setting. The key contributions are practical rather than architectural — the value lies in the engineering decisions, debugging process, and reproducible training configuration documented here.</w:t>
      </w:r>
    </w:p>
    <w:p w14:paraId="71CB878F">
      <w:pPr>
        <w:spacing w:before="80" w:after="0"/>
      </w:pPr>
    </w:p>
    <w:p w14:paraId="7153BB54">
      <w:pPr>
        <w:spacing w:before="60" w:after="60"/>
      </w:pPr>
      <w:r>
        <w:rPr>
          <w:rFonts w:ascii="Arial" w:hAnsi="Arial" w:eastAsia="Arial" w:cs="Arial"/>
          <w:sz w:val="21"/>
          <w:szCs w:val="21"/>
        </w:rPr>
        <w:t>Several aspects of this project are directly relevant to current research challenges in efficient deep learning. The use of GQA, RoPE, and sliding window attention represents the state of the art in memory-efficient Transformer design, and our experience training these components from scratch provides intuitions about their behavior that fine-tuning workflows do not.</w:t>
      </w:r>
    </w:p>
    <w:p w14:paraId="2082C1B4">
      <w:pPr>
        <w:spacing w:before="80" w:after="0"/>
      </w:pPr>
    </w:p>
    <w:p w14:paraId="4CB82C60">
      <w:pPr>
        <w:spacing w:before="60" w:after="60"/>
      </w:pPr>
      <w:r>
        <w:rPr>
          <w:rFonts w:ascii="Arial" w:hAnsi="Arial" w:eastAsia="Arial" w:cs="Arial"/>
          <w:sz w:val="21"/>
          <w:szCs w:val="21"/>
        </w:rPr>
        <w:t>Future directions include: scaling to longer context lengths using techniques such as ALiBi or extended RoPE; experimenting with alternative training datasets for domain-specific language modeling; and exploring quantization strategies to further reduce inference-time memory requirements.</w:t>
      </w:r>
    </w:p>
    <w:p w14:paraId="37EA8664">
      <w:pPr>
        <w:pBdr>
          <w:bottom w:val="single" w:color="2E75B6" w:sz="6" w:space="4"/>
        </w:pBdr>
        <w:spacing w:before="320" w:after="100"/>
      </w:pPr>
      <w:r>
        <w:rPr>
          <w:rFonts w:ascii="Arial" w:hAnsi="Arial" w:eastAsia="Arial" w:cs="Arial"/>
          <w:b/>
          <w:bCs/>
          <w:color w:val="1F4E79"/>
          <w:sz w:val="28"/>
          <w:szCs w:val="28"/>
        </w:rPr>
        <w:t>7. Conclusion</w:t>
      </w:r>
    </w:p>
    <w:p w14:paraId="2D2215B3">
      <w:pPr>
        <w:spacing w:before="60" w:after="60"/>
      </w:pPr>
      <w:r>
        <w:rPr>
          <w:rFonts w:ascii="Arial" w:hAnsi="Arial" w:eastAsia="Arial" w:cs="Arial"/>
          <w:sz w:val="21"/>
          <w:szCs w:val="21"/>
        </w:rPr>
        <w:t>We presented the implementation and training of a 270M parameter Gemma-style decoder-only Transformer from scratch on a single NVIDIA T4 GPU. The model was trained on the TinyStories dataset and achieved a final validation loss of 2.3083 at 29,000 steps, with sustained ~100% GPU utilization and a training throughput of ~8,000 tokens/second. The project documents practical solutions to the engineering challenges of large-scale training on commodity hardware, including mixed precision training, gradient accumulation, resume-capable checkpointing, and memory-efficient attention mechanisms. All code, training notebooks, and model weights are publicly available for reproduction and further research.</w:t>
      </w:r>
    </w:p>
    <w:p w14:paraId="33399B8D">
      <w:pPr>
        <w:pBdr>
          <w:bottom w:val="single" w:color="2E75B6" w:sz="6" w:space="4"/>
        </w:pBdr>
        <w:spacing w:before="320" w:after="100"/>
      </w:pPr>
      <w:r>
        <w:rPr>
          <w:rFonts w:ascii="Arial" w:hAnsi="Arial" w:eastAsia="Arial" w:cs="Arial"/>
          <w:b/>
          <w:bCs/>
          <w:color w:val="1F4E79"/>
          <w:sz w:val="28"/>
          <w:szCs w:val="28"/>
        </w:rPr>
        <w:t>References</w:t>
      </w:r>
    </w:p>
    <w:p w14:paraId="3CB0548D">
      <w:pPr>
        <w:spacing w:before="60" w:after="60"/>
      </w:pPr>
      <w:r>
        <w:rPr>
          <w:rFonts w:ascii="Arial" w:hAnsi="Arial" w:eastAsia="Arial" w:cs="Arial"/>
          <w:sz w:val="21"/>
          <w:szCs w:val="21"/>
        </w:rPr>
        <w:t>[1] Vaswani, A., et al. (2017). Attention is All You Need. NeurIPS 2017.</w:t>
      </w:r>
    </w:p>
    <w:p w14:paraId="465C083F">
      <w:pPr>
        <w:spacing w:before="60" w:after="60"/>
      </w:pPr>
      <w:r>
        <w:rPr>
          <w:rFonts w:ascii="Arial" w:hAnsi="Arial" w:eastAsia="Arial" w:cs="Arial"/>
          <w:sz w:val="21"/>
          <w:szCs w:val="21"/>
        </w:rPr>
        <w:t>[2] Team, G., et al. (2024). Gemma: Open Models Based on Gemini Research and Technology. arXiv:2403.08295.</w:t>
      </w:r>
    </w:p>
    <w:p w14:paraId="57727C45">
      <w:pPr>
        <w:spacing w:before="60" w:after="60"/>
      </w:pPr>
      <w:r>
        <w:rPr>
          <w:rFonts w:ascii="Arial" w:hAnsi="Arial" w:eastAsia="Arial" w:cs="Arial"/>
          <w:sz w:val="21"/>
          <w:szCs w:val="21"/>
        </w:rPr>
        <w:t>[3] Su, J., et al. (2022). RoFormer: Enhanced Transformer with Rotary Position Embedding. arXiv:2104.09864.</w:t>
      </w:r>
    </w:p>
    <w:p w14:paraId="03C064EC">
      <w:pPr>
        <w:spacing w:before="60" w:after="60"/>
      </w:pPr>
      <w:r>
        <w:rPr>
          <w:rFonts w:ascii="Arial" w:hAnsi="Arial" w:eastAsia="Arial" w:cs="Arial"/>
          <w:sz w:val="21"/>
          <w:szCs w:val="21"/>
        </w:rPr>
        <w:t>[4] Ainslie, J., et al. (2023). GQA: Training Generalized Multi-Query Transformer Models. arXiv:2305.13245.</w:t>
      </w:r>
    </w:p>
    <w:p w14:paraId="717E6F3D">
      <w:pPr>
        <w:spacing w:before="60" w:after="60"/>
      </w:pPr>
      <w:r>
        <w:rPr>
          <w:rFonts w:ascii="Arial" w:hAnsi="Arial" w:eastAsia="Arial" w:cs="Arial"/>
          <w:sz w:val="21"/>
          <w:szCs w:val="21"/>
        </w:rPr>
        <w:t>[5] Zhang, B., &amp; Sennrich, R. (2019). Root Mean Square Layer Normalization. NeurIPS 2019.</w:t>
      </w:r>
    </w:p>
    <w:p w14:paraId="0827C1A8">
      <w:pPr>
        <w:spacing w:before="60" w:after="60"/>
      </w:pPr>
      <w:r>
        <w:rPr>
          <w:rFonts w:ascii="Arial" w:hAnsi="Arial" w:eastAsia="Arial" w:cs="Arial"/>
          <w:sz w:val="21"/>
          <w:szCs w:val="21"/>
        </w:rPr>
        <w:t>[6] Eldan, R., &amp; Li, Y. (2023). TinyStories: How Small Can Language Models Be and Still Speak Coherent English? arXiv:2305.07759.</w:t>
      </w:r>
    </w:p>
    <w:p w14:paraId="4AD4D4DF">
      <w:pPr>
        <w:spacing w:before="60" w:after="60"/>
      </w:pPr>
      <w:r>
        <w:rPr>
          <w:rFonts w:ascii="Arial" w:hAnsi="Arial" w:eastAsia="Arial" w:cs="Arial"/>
          <w:sz w:val="21"/>
          <w:szCs w:val="21"/>
        </w:rPr>
        <w:t>[7] Micikevicius, P., et al. (2018). Mixed Precision Training. ICLR 2018.</w:t>
      </w:r>
    </w:p>
    <w:p w14:paraId="4A3C9322">
      <w:pPr>
        <w:spacing w:before="60" w:after="60"/>
      </w:pPr>
      <w:r>
        <w:rPr>
          <w:rFonts w:ascii="Arial" w:hAnsi="Arial" w:eastAsia="Arial" w:cs="Arial"/>
          <w:sz w:val="21"/>
          <w:szCs w:val="21"/>
        </w:rPr>
        <w:t>[8] Loshchilov, I., &amp; Hutter, F. (2019). Decoupled Weight Decay Regularization. ICLR 2019.</w:t>
      </w:r>
    </w:p>
    <w:sectPr>
      <w:pgSz w:w="12240" w:h="15840"/>
      <w:pgMar w:top="1260" w:right="1440" w:bottom="126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783C50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1527</Words>
  <Characters>9714</Characters>
  <TotalTime>0</TotalTime>
  <ScaleCrop>false</ScaleCrop>
  <LinksUpToDate>false</LinksUpToDate>
  <CharactersWithSpaces>11135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2026-05-02T15:43:00Z</dcterms:created>
  <dc:creator>Un-named</dc:creator>
  <cp:lastModifiedBy>Snehal Lal das</cp:lastModifiedBy>
  <dcterms:modified xsi:type="dcterms:W3CDTF">2026-05-02T15:46:07Z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eyJoZGlkIjoiNzgyMTBjYjQ0Njk1NDNjNjcxMGY3MzkyODVkZjAyMTEiLCJ1c2VySWQiOiI1Njc1ODMzMTI3MDMifQ==</vt:lpwstr>
  </property>
  <property fmtid="{D5CDD505-2E9C-101B-9397-08002B2CF9AE}" pid="3" name="KSOProductBuildVer">
    <vt:lpwstr>1033-12.1.0.25242</vt:lpwstr>
  </property>
  <property fmtid="{D5CDD505-2E9C-101B-9397-08002B2CF9AE}" pid="4" name="ICV">
    <vt:lpwstr>88D4664B8DA54E33A01D8C54458C48F8_12</vt:lpwstr>
  </property>
</Properties>
</file>