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B2A4A"/>
          <w:sz w:val="52"/>
          <w:szCs w:val="52"/>
        </w:rPr>
        <w:t xml:space="preserve">Quant Derivatives Theory Pack</w:t>
      </w:r>
    </w:p>
    <w:p>
      <w:pPr>
        <w:spacing w:after="300" w:before="200"/>
        <w:jc w:val="center"/>
      </w:pPr>
      <w:r>
        <w:rPr>
          <w:color w:val="4A4A4A"/>
          <w:sz w:val="26"/>
          <w:szCs w:val="26"/>
        </w:rPr>
        <w:t xml:space="preserve">Pricing &amp; Hedging Engine — Study Guide</w:t>
      </w:r>
    </w:p>
    <w:p>
      <w:pPr>
        <w:pBdr>
          <w:bottom w:val="single" w:color="B08D57" w:sz="8" w:space="10"/>
        </w:pBdr>
        <w:jc w:val="center"/>
      </w:pPr>
      <w:r>
        <w:t xml:space="preserve"/>
      </w:r>
    </w:p>
    <w:p>
      <w:pPr>
        <w:spacing w:after="200" w:before="300"/>
        <w:jc w:val="center"/>
      </w:pPr>
      <w:r>
        <w:rPr>
          <w:i/>
          <w:iCs/>
          <w:color w:val="4A4A4A"/>
          <w:sz w:val="22"/>
          <w:szCs w:val="22"/>
        </w:rPr>
        <w:t xml:space="preserve">A structured path from probability foundations through Black–Scholes, risk-neutral pricing, Greeks, Monte Carlo, implied volatility, and delta-hedging — built for Quant / Quant Risk / Model Risk interview and project preparation.</w:t>
      </w:r>
    </w:p>
    <w:p>
      <w:r>
        <w:br w:type="page"/>
      </w:r>
    </w:p>
    <w:p>
      <w:pPr>
        <w:pStyle w:val="Heading1"/>
      </w:pPr>
      <w:r>
        <w:rPr>
          <w:b/>
          <w:bCs/>
          <w:color w:val="1B2A4A"/>
          <w:sz w:val="30"/>
          <w:szCs w:val="30"/>
        </w:rPr>
        <w:t xml:space="preserve">Contents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600"/>
        <w:gridCol w:w="8000"/>
      </w:tblGrid>
      <w:tr>
        <w:tc>
          <w:tcPr>
            <w:tcW w:type="dxa" w:w="1600"/>
            <w:tcMar>
              <w:top w:type="dxa" w:w="60"/>
              <w:left w:type="dxa" w:w="0"/>
              <w:bottom w:type="dxa" w:w="60"/>
              <w:right w:type="dxa" w:w="100"/>
            </w:tcMar>
          </w:tcPr>
          <w:p>
            <w:r>
              <w:rPr>
                <w:b/>
                <w:bCs/>
                <w:color w:val="1B2A4A"/>
                <w:sz w:val="20"/>
                <w:szCs w:val="20"/>
              </w:rPr>
              <w:t xml:space="preserve">Ch. 0</w:t>
            </w:r>
          </w:p>
        </w:tc>
        <w:tc>
          <w:tcPr>
            <w:tcW w:type="dxa" w:w="8000"/>
            <w:tcMar>
              <w:top w:type="dxa" w:w="60"/>
              <w:left w:type="dxa" w:w="0"/>
              <w:bottom w:type="dxa" w:w="60"/>
              <w:right w:type="dxa" w:w="0"/>
            </w:tcMar>
          </w:tcPr>
          <w:p>
            <w:r>
              <w:rPr>
                <w:sz w:val="20"/>
                <w:szCs w:val="20"/>
              </w:rPr>
              <w:t xml:space="preserve">Prerequisites — Probability, Statistics, Calculus, Linear Algebra</w:t>
            </w:r>
          </w:p>
        </w:tc>
      </w:tr>
      <w:tr>
        <w:tc>
          <w:tcPr>
            <w:tcW w:type="dxa" w:w="1600"/>
            <w:tcMar>
              <w:top w:type="dxa" w:w="60"/>
              <w:left w:type="dxa" w:w="0"/>
              <w:bottom w:type="dxa" w:w="60"/>
              <w:right w:type="dxa" w:w="100"/>
            </w:tcMar>
          </w:tcPr>
          <w:p>
            <w:r>
              <w:rPr>
                <w:b/>
                <w:bCs/>
                <w:color w:val="1B2A4A"/>
                <w:sz w:val="20"/>
                <w:szCs w:val="20"/>
              </w:rPr>
              <w:t xml:space="preserve">Ch. 1</w:t>
            </w:r>
          </w:p>
        </w:tc>
        <w:tc>
          <w:tcPr>
            <w:tcW w:type="dxa" w:w="8000"/>
            <w:tcMar>
              <w:top w:type="dxa" w:w="60"/>
              <w:left w:type="dxa" w:w="0"/>
              <w:bottom w:type="dxa" w:w="60"/>
              <w:right w:type="dxa" w:w="0"/>
            </w:tcMar>
          </w:tcPr>
          <w:p>
            <w:r>
              <w:rPr>
                <w:sz w:val="20"/>
                <w:szCs w:val="20"/>
              </w:rPr>
              <w:t xml:space="preserve">Financial Foundations — Derivatives &amp; Forward Contracts</w:t>
            </w:r>
          </w:p>
        </w:tc>
      </w:tr>
      <w:tr>
        <w:tc>
          <w:tcPr>
            <w:tcW w:type="dxa" w:w="1600"/>
            <w:tcMar>
              <w:top w:type="dxa" w:w="60"/>
              <w:left w:type="dxa" w:w="0"/>
              <w:bottom w:type="dxa" w:w="60"/>
              <w:right w:type="dxa" w:w="100"/>
            </w:tcMar>
          </w:tcPr>
          <w:p>
            <w:r>
              <w:rPr>
                <w:b/>
                <w:bCs/>
                <w:color w:val="1B2A4A"/>
                <w:sz w:val="20"/>
                <w:szCs w:val="20"/>
              </w:rPr>
              <w:t xml:space="preserve">Ch. 2</w:t>
            </w:r>
          </w:p>
        </w:tc>
        <w:tc>
          <w:tcPr>
            <w:tcW w:type="dxa" w:w="8000"/>
            <w:tcMar>
              <w:top w:type="dxa" w:w="60"/>
              <w:left w:type="dxa" w:w="0"/>
              <w:bottom w:type="dxa" w:w="60"/>
              <w:right w:type="dxa" w:w="0"/>
            </w:tcMar>
          </w:tcPr>
          <w:p>
            <w:r>
              <w:rPr>
                <w:sz w:val="20"/>
                <w:szCs w:val="20"/>
              </w:rPr>
              <w:t xml:space="preserve">Options Theory — Calls, Puts, Moneyness</w:t>
            </w:r>
          </w:p>
        </w:tc>
      </w:tr>
      <w:tr>
        <w:tc>
          <w:tcPr>
            <w:tcW w:type="dxa" w:w="1600"/>
            <w:tcMar>
              <w:top w:type="dxa" w:w="60"/>
              <w:left w:type="dxa" w:w="0"/>
              <w:bottom w:type="dxa" w:w="60"/>
              <w:right w:type="dxa" w:w="100"/>
            </w:tcMar>
          </w:tcPr>
          <w:p>
            <w:r>
              <w:rPr>
                <w:b/>
                <w:bCs/>
                <w:color w:val="1B2A4A"/>
                <w:sz w:val="20"/>
                <w:szCs w:val="20"/>
              </w:rPr>
              <w:t xml:space="preserve">Ch. 3</w:t>
            </w:r>
          </w:p>
        </w:tc>
        <w:tc>
          <w:tcPr>
            <w:tcW w:type="dxa" w:w="8000"/>
            <w:tcMar>
              <w:top w:type="dxa" w:w="60"/>
              <w:left w:type="dxa" w:w="0"/>
              <w:bottom w:type="dxa" w:w="60"/>
              <w:right w:type="dxa" w:w="0"/>
            </w:tcMar>
          </w:tcPr>
          <w:p>
            <w:r>
              <w:rPr>
                <w:sz w:val="20"/>
                <w:szCs w:val="20"/>
              </w:rPr>
              <w:t xml:space="preserve">Put-Call Parity</w:t>
            </w:r>
          </w:p>
        </w:tc>
      </w:tr>
      <w:tr>
        <w:tc>
          <w:tcPr>
            <w:tcW w:type="dxa" w:w="1600"/>
            <w:tcMar>
              <w:top w:type="dxa" w:w="60"/>
              <w:left w:type="dxa" w:w="0"/>
              <w:bottom w:type="dxa" w:w="60"/>
              <w:right w:type="dxa" w:w="100"/>
            </w:tcMar>
          </w:tcPr>
          <w:p>
            <w:r>
              <w:rPr>
                <w:b/>
                <w:bCs/>
                <w:color w:val="1B2A4A"/>
                <w:sz w:val="20"/>
                <w:szCs w:val="20"/>
              </w:rPr>
              <w:t xml:space="preserve">Ch. 4</w:t>
            </w:r>
          </w:p>
        </w:tc>
        <w:tc>
          <w:tcPr>
            <w:tcW w:type="dxa" w:w="8000"/>
            <w:tcMar>
              <w:top w:type="dxa" w:w="60"/>
              <w:left w:type="dxa" w:w="0"/>
              <w:bottom w:type="dxa" w:w="60"/>
              <w:right w:type="dxa" w:w="0"/>
            </w:tcMar>
          </w:tcPr>
          <w:p>
            <w:r>
              <w:rPr>
                <w:sz w:val="20"/>
                <w:szCs w:val="20"/>
              </w:rPr>
              <w:t xml:space="preserve">No-Arbitrage Pricing</w:t>
            </w:r>
          </w:p>
        </w:tc>
      </w:tr>
      <w:tr>
        <w:tc>
          <w:tcPr>
            <w:tcW w:type="dxa" w:w="1600"/>
            <w:tcMar>
              <w:top w:type="dxa" w:w="60"/>
              <w:left w:type="dxa" w:w="0"/>
              <w:bottom w:type="dxa" w:w="60"/>
              <w:right w:type="dxa" w:w="100"/>
            </w:tcMar>
          </w:tcPr>
          <w:p>
            <w:r>
              <w:rPr>
                <w:b/>
                <w:bCs/>
                <w:color w:val="1B2A4A"/>
                <w:sz w:val="20"/>
                <w:szCs w:val="20"/>
              </w:rPr>
              <w:t xml:space="preserve">Ch. 5</w:t>
            </w:r>
          </w:p>
        </w:tc>
        <w:tc>
          <w:tcPr>
            <w:tcW w:type="dxa" w:w="8000"/>
            <w:tcMar>
              <w:top w:type="dxa" w:w="60"/>
              <w:left w:type="dxa" w:w="0"/>
              <w:bottom w:type="dxa" w:w="60"/>
              <w:right w:type="dxa" w:w="0"/>
            </w:tcMar>
          </w:tcPr>
          <w:p>
            <w:r>
              <w:rPr>
                <w:sz w:val="20"/>
                <w:szCs w:val="20"/>
              </w:rPr>
              <w:t xml:space="preserve">The Binomial Model</w:t>
            </w:r>
          </w:p>
        </w:tc>
      </w:tr>
      <w:tr>
        <w:tc>
          <w:tcPr>
            <w:tcW w:type="dxa" w:w="1600"/>
            <w:tcMar>
              <w:top w:type="dxa" w:w="60"/>
              <w:left w:type="dxa" w:w="0"/>
              <w:bottom w:type="dxa" w:w="60"/>
              <w:right w:type="dxa" w:w="100"/>
            </w:tcMar>
          </w:tcPr>
          <w:p>
            <w:r>
              <w:rPr>
                <w:b/>
                <w:bCs/>
                <w:color w:val="1B2A4A"/>
                <w:sz w:val="20"/>
                <w:szCs w:val="20"/>
              </w:rPr>
              <w:t xml:space="preserve">Ch. 6</w:t>
            </w:r>
          </w:p>
        </w:tc>
        <w:tc>
          <w:tcPr>
            <w:tcW w:type="dxa" w:w="8000"/>
            <w:tcMar>
              <w:top w:type="dxa" w:w="60"/>
              <w:left w:type="dxa" w:w="0"/>
              <w:bottom w:type="dxa" w:w="60"/>
              <w:right w:type="dxa" w:w="0"/>
            </w:tcMar>
          </w:tcPr>
          <w:p>
            <w:r>
              <w:rPr>
                <w:sz w:val="20"/>
                <w:szCs w:val="20"/>
              </w:rPr>
              <w:t xml:space="preserve">Risk-Neutral Pricing</w:t>
            </w:r>
          </w:p>
        </w:tc>
      </w:tr>
      <w:tr>
        <w:tc>
          <w:tcPr>
            <w:tcW w:type="dxa" w:w="1600"/>
            <w:tcMar>
              <w:top w:type="dxa" w:w="60"/>
              <w:left w:type="dxa" w:w="0"/>
              <w:bottom w:type="dxa" w:w="60"/>
              <w:right w:type="dxa" w:w="100"/>
            </w:tcMar>
          </w:tcPr>
          <w:p>
            <w:r>
              <w:rPr>
                <w:b/>
                <w:bCs/>
                <w:color w:val="1B2A4A"/>
                <w:sz w:val="20"/>
                <w:szCs w:val="20"/>
              </w:rPr>
              <w:t xml:space="preserve">Ch. 7</w:t>
            </w:r>
          </w:p>
        </w:tc>
        <w:tc>
          <w:tcPr>
            <w:tcW w:type="dxa" w:w="8000"/>
            <w:tcMar>
              <w:top w:type="dxa" w:w="60"/>
              <w:left w:type="dxa" w:w="0"/>
              <w:bottom w:type="dxa" w:w="60"/>
              <w:right w:type="dxa" w:w="0"/>
            </w:tcMar>
          </w:tcPr>
          <w:p>
            <w:r>
              <w:rPr>
                <w:sz w:val="20"/>
                <w:szCs w:val="20"/>
              </w:rPr>
              <w:t xml:space="preserve">Binomial → Black–Scholes Convergence</w:t>
            </w:r>
          </w:p>
        </w:tc>
      </w:tr>
      <w:tr>
        <w:tc>
          <w:tcPr>
            <w:tcW w:type="dxa" w:w="1600"/>
            <w:tcMar>
              <w:top w:type="dxa" w:w="60"/>
              <w:left w:type="dxa" w:w="0"/>
              <w:bottom w:type="dxa" w:w="60"/>
              <w:right w:type="dxa" w:w="100"/>
            </w:tcMar>
          </w:tcPr>
          <w:p>
            <w:r>
              <w:rPr>
                <w:b/>
                <w:bCs/>
                <w:color w:val="1B2A4A"/>
                <w:sz w:val="20"/>
                <w:szCs w:val="20"/>
              </w:rPr>
              <w:t xml:space="preserve">Ch. 8</w:t>
            </w:r>
          </w:p>
        </w:tc>
        <w:tc>
          <w:tcPr>
            <w:tcW w:type="dxa" w:w="8000"/>
            <w:tcMar>
              <w:top w:type="dxa" w:w="60"/>
              <w:left w:type="dxa" w:w="0"/>
              <w:bottom w:type="dxa" w:w="60"/>
              <w:right w:type="dxa" w:w="0"/>
            </w:tcMar>
          </w:tcPr>
          <w:p>
            <w:r>
              <w:rPr>
                <w:sz w:val="20"/>
                <w:szCs w:val="20"/>
              </w:rPr>
              <w:t xml:space="preserve">Stochastic Processes — Brownian Motion</w:t>
            </w:r>
          </w:p>
        </w:tc>
      </w:tr>
      <w:tr>
        <w:tc>
          <w:tcPr>
            <w:tcW w:type="dxa" w:w="1600"/>
            <w:tcMar>
              <w:top w:type="dxa" w:w="60"/>
              <w:left w:type="dxa" w:w="0"/>
              <w:bottom w:type="dxa" w:w="60"/>
              <w:right w:type="dxa" w:w="100"/>
            </w:tcMar>
          </w:tcPr>
          <w:p>
            <w:r>
              <w:rPr>
                <w:b/>
                <w:bCs/>
                <w:color w:val="1B2A4A"/>
                <w:sz w:val="20"/>
                <w:szCs w:val="20"/>
              </w:rPr>
              <w:t xml:space="preserve">Ch. 9</w:t>
            </w:r>
          </w:p>
        </w:tc>
        <w:tc>
          <w:tcPr>
            <w:tcW w:type="dxa" w:w="8000"/>
            <w:tcMar>
              <w:top w:type="dxa" w:w="60"/>
              <w:left w:type="dxa" w:w="0"/>
              <w:bottom w:type="dxa" w:w="60"/>
              <w:right w:type="dxa" w:w="0"/>
            </w:tcMar>
          </w:tcPr>
          <w:p>
            <w:r>
              <w:rPr>
                <w:sz w:val="20"/>
                <w:szCs w:val="20"/>
              </w:rPr>
              <w:t xml:space="preserve">Geometric Brownian Motion</w:t>
            </w:r>
          </w:p>
        </w:tc>
      </w:tr>
      <w:tr>
        <w:tc>
          <w:tcPr>
            <w:tcW w:type="dxa" w:w="1600"/>
            <w:tcMar>
              <w:top w:type="dxa" w:w="60"/>
              <w:left w:type="dxa" w:w="0"/>
              <w:bottom w:type="dxa" w:w="60"/>
              <w:right w:type="dxa" w:w="100"/>
            </w:tcMar>
          </w:tcPr>
          <w:p>
            <w:r>
              <w:rPr>
                <w:b/>
                <w:bCs/>
                <w:color w:val="1B2A4A"/>
                <w:sz w:val="20"/>
                <w:szCs w:val="20"/>
              </w:rPr>
              <w:t xml:space="preserve">Ch. 10</w:t>
            </w:r>
          </w:p>
        </w:tc>
        <w:tc>
          <w:tcPr>
            <w:tcW w:type="dxa" w:w="8000"/>
            <w:tcMar>
              <w:top w:type="dxa" w:w="60"/>
              <w:left w:type="dxa" w:w="0"/>
              <w:bottom w:type="dxa" w:w="60"/>
              <w:right w:type="dxa" w:w="0"/>
            </w:tcMar>
          </w:tcPr>
          <w:p>
            <w:r>
              <w:rPr>
                <w:sz w:val="20"/>
                <w:szCs w:val="20"/>
              </w:rPr>
              <w:t xml:space="preserve">Itô's Lemma</w:t>
            </w:r>
          </w:p>
        </w:tc>
      </w:tr>
      <w:tr>
        <w:tc>
          <w:tcPr>
            <w:tcW w:type="dxa" w:w="1600"/>
            <w:tcMar>
              <w:top w:type="dxa" w:w="60"/>
              <w:left w:type="dxa" w:w="0"/>
              <w:bottom w:type="dxa" w:w="60"/>
              <w:right w:type="dxa" w:w="100"/>
            </w:tcMar>
          </w:tcPr>
          <w:p>
            <w:r>
              <w:rPr>
                <w:b/>
                <w:bCs/>
                <w:color w:val="1B2A4A"/>
                <w:sz w:val="20"/>
                <w:szCs w:val="20"/>
              </w:rPr>
              <w:t xml:space="preserve">Ch. 11</w:t>
            </w:r>
          </w:p>
        </w:tc>
        <w:tc>
          <w:tcPr>
            <w:tcW w:type="dxa" w:w="8000"/>
            <w:tcMar>
              <w:top w:type="dxa" w:w="60"/>
              <w:left w:type="dxa" w:w="0"/>
              <w:bottom w:type="dxa" w:w="60"/>
              <w:right w:type="dxa" w:w="0"/>
            </w:tcMar>
          </w:tcPr>
          <w:p>
            <w:r>
              <w:rPr>
                <w:sz w:val="20"/>
                <w:szCs w:val="20"/>
              </w:rPr>
              <w:t xml:space="preserve">The Black–Scholes Derivation</w:t>
            </w:r>
          </w:p>
        </w:tc>
      </w:tr>
      <w:tr>
        <w:tc>
          <w:tcPr>
            <w:tcW w:type="dxa" w:w="1600"/>
            <w:tcMar>
              <w:top w:type="dxa" w:w="60"/>
              <w:left w:type="dxa" w:w="0"/>
              <w:bottom w:type="dxa" w:w="60"/>
              <w:right w:type="dxa" w:w="100"/>
            </w:tcMar>
          </w:tcPr>
          <w:p>
            <w:r>
              <w:rPr>
                <w:b/>
                <w:bCs/>
                <w:color w:val="1B2A4A"/>
                <w:sz w:val="20"/>
                <w:szCs w:val="20"/>
              </w:rPr>
              <w:t xml:space="preserve">Ch. 12</w:t>
            </w:r>
          </w:p>
        </w:tc>
        <w:tc>
          <w:tcPr>
            <w:tcW w:type="dxa" w:w="8000"/>
            <w:tcMar>
              <w:top w:type="dxa" w:w="60"/>
              <w:left w:type="dxa" w:w="0"/>
              <w:bottom w:type="dxa" w:w="60"/>
              <w:right w:type="dxa" w:w="0"/>
            </w:tcMar>
          </w:tcPr>
          <w:p>
            <w:r>
              <w:rPr>
                <w:sz w:val="20"/>
                <w:szCs w:val="20"/>
              </w:rPr>
              <w:t xml:space="preserve">The Black–Scholes Formula</w:t>
            </w:r>
          </w:p>
        </w:tc>
      </w:tr>
      <w:tr>
        <w:tc>
          <w:tcPr>
            <w:tcW w:type="dxa" w:w="1600"/>
            <w:tcMar>
              <w:top w:type="dxa" w:w="60"/>
              <w:left w:type="dxa" w:w="0"/>
              <w:bottom w:type="dxa" w:w="60"/>
              <w:right w:type="dxa" w:w="100"/>
            </w:tcMar>
          </w:tcPr>
          <w:p>
            <w:r>
              <w:rPr>
                <w:b/>
                <w:bCs/>
                <w:color w:val="1B2A4A"/>
                <w:sz w:val="20"/>
                <w:szCs w:val="20"/>
              </w:rPr>
              <w:t xml:space="preserve">Ch. 13–14</w:t>
            </w:r>
          </w:p>
        </w:tc>
        <w:tc>
          <w:tcPr>
            <w:tcW w:type="dxa" w:w="8000"/>
            <w:tcMar>
              <w:top w:type="dxa" w:w="60"/>
              <w:left w:type="dxa" w:w="0"/>
              <w:bottom w:type="dxa" w:w="60"/>
              <w:right w:type="dxa" w:w="0"/>
            </w:tcMar>
          </w:tcPr>
          <w:p>
            <w:r>
              <w:rPr>
                <w:sz w:val="20"/>
                <w:szCs w:val="20"/>
              </w:rPr>
              <w:t xml:space="preserve">The Greeks &amp; Greek Relationships</w:t>
            </w:r>
          </w:p>
        </w:tc>
      </w:tr>
      <w:tr>
        <w:tc>
          <w:tcPr>
            <w:tcW w:type="dxa" w:w="1600"/>
            <w:tcMar>
              <w:top w:type="dxa" w:w="60"/>
              <w:left w:type="dxa" w:w="0"/>
              <w:bottom w:type="dxa" w:w="60"/>
              <w:right w:type="dxa" w:w="100"/>
            </w:tcMar>
          </w:tcPr>
          <w:p>
            <w:r>
              <w:rPr>
                <w:b/>
                <w:bCs/>
                <w:color w:val="1B2A4A"/>
                <w:sz w:val="20"/>
                <w:szCs w:val="20"/>
              </w:rPr>
              <w:t xml:space="preserve">Ch. 15</w:t>
            </w:r>
          </w:p>
        </w:tc>
        <w:tc>
          <w:tcPr>
            <w:tcW w:type="dxa" w:w="8000"/>
            <w:tcMar>
              <w:top w:type="dxa" w:w="60"/>
              <w:left w:type="dxa" w:w="0"/>
              <w:bottom w:type="dxa" w:w="60"/>
              <w:right w:type="dxa" w:w="0"/>
            </w:tcMar>
          </w:tcPr>
          <w:p>
            <w:r>
              <w:rPr>
                <w:sz w:val="20"/>
                <w:szCs w:val="20"/>
              </w:rPr>
              <w:t xml:space="preserve">Numerical Greeks</w:t>
            </w:r>
          </w:p>
        </w:tc>
      </w:tr>
      <w:tr>
        <w:tc>
          <w:tcPr>
            <w:tcW w:type="dxa" w:w="1600"/>
            <w:tcMar>
              <w:top w:type="dxa" w:w="60"/>
              <w:left w:type="dxa" w:w="0"/>
              <w:bottom w:type="dxa" w:w="60"/>
              <w:right w:type="dxa" w:w="100"/>
            </w:tcMar>
          </w:tcPr>
          <w:p>
            <w:r>
              <w:rPr>
                <w:b/>
                <w:bCs/>
                <w:color w:val="1B2A4A"/>
                <w:sz w:val="20"/>
                <w:szCs w:val="20"/>
              </w:rPr>
              <w:t xml:space="preserve">Ch. 16–19</w:t>
            </w:r>
          </w:p>
        </w:tc>
        <w:tc>
          <w:tcPr>
            <w:tcW w:type="dxa" w:w="8000"/>
            <w:tcMar>
              <w:top w:type="dxa" w:w="60"/>
              <w:left w:type="dxa" w:w="0"/>
              <w:bottom w:type="dxa" w:w="60"/>
              <w:right w:type="dxa" w:w="0"/>
            </w:tcMar>
          </w:tcPr>
          <w:p>
            <w:r>
              <w:rPr>
                <w:sz w:val="20"/>
                <w:szCs w:val="20"/>
              </w:rPr>
              <w:t xml:space="preserve">Monte Carlo Pricing, Theory, Confidence Intervals &amp; Variance Reduction</w:t>
            </w:r>
          </w:p>
        </w:tc>
      </w:tr>
      <w:tr>
        <w:tc>
          <w:tcPr>
            <w:tcW w:type="dxa" w:w="1600"/>
            <w:tcMar>
              <w:top w:type="dxa" w:w="60"/>
              <w:left w:type="dxa" w:w="0"/>
              <w:bottom w:type="dxa" w:w="60"/>
              <w:right w:type="dxa" w:w="100"/>
            </w:tcMar>
          </w:tcPr>
          <w:p>
            <w:r>
              <w:rPr>
                <w:b/>
                <w:bCs/>
                <w:color w:val="1B2A4A"/>
                <w:sz w:val="20"/>
                <w:szCs w:val="20"/>
              </w:rPr>
              <w:t xml:space="preserve">Ch. 20–22</w:t>
            </w:r>
          </w:p>
        </w:tc>
        <w:tc>
          <w:tcPr>
            <w:tcW w:type="dxa" w:w="8000"/>
            <w:tcMar>
              <w:top w:type="dxa" w:w="60"/>
              <w:left w:type="dxa" w:w="0"/>
              <w:bottom w:type="dxa" w:w="60"/>
              <w:right w:type="dxa" w:w="0"/>
            </w:tcMar>
          </w:tcPr>
          <w:p>
            <w:r>
              <w:rPr>
                <w:sz w:val="20"/>
                <w:szCs w:val="20"/>
              </w:rPr>
              <w:t xml:space="preserve">Implied Volatility, Root Finding &amp; the Volatility Smile</w:t>
            </w:r>
          </w:p>
        </w:tc>
      </w:tr>
      <w:tr>
        <w:tc>
          <w:tcPr>
            <w:tcW w:type="dxa" w:w="1600"/>
            <w:tcMar>
              <w:top w:type="dxa" w:w="60"/>
              <w:left w:type="dxa" w:w="0"/>
              <w:bottom w:type="dxa" w:w="60"/>
              <w:right w:type="dxa" w:w="100"/>
            </w:tcMar>
          </w:tcPr>
          <w:p>
            <w:r>
              <w:rPr>
                <w:b/>
                <w:bCs/>
                <w:color w:val="1B2A4A"/>
                <w:sz w:val="20"/>
                <w:szCs w:val="20"/>
              </w:rPr>
              <w:t xml:space="preserve">Ch. 23–25</w:t>
            </w:r>
          </w:p>
        </w:tc>
        <w:tc>
          <w:tcPr>
            <w:tcW w:type="dxa" w:w="8000"/>
            <w:tcMar>
              <w:top w:type="dxa" w:w="60"/>
              <w:left w:type="dxa" w:w="0"/>
              <w:bottom w:type="dxa" w:w="60"/>
              <w:right w:type="dxa" w:w="0"/>
            </w:tcMar>
          </w:tcPr>
          <w:p>
            <w:r>
              <w:rPr>
                <w:sz w:val="20"/>
                <w:szCs w:val="20"/>
              </w:rPr>
              <w:t xml:space="preserve">Hedging, Delta-Hedging Simulation &amp; Gamma / Hedge Error</w:t>
            </w:r>
          </w:p>
        </w:tc>
      </w:tr>
      <w:tr>
        <w:tc>
          <w:tcPr>
            <w:tcW w:type="dxa" w:w="1600"/>
            <w:tcMar>
              <w:top w:type="dxa" w:w="60"/>
              <w:left w:type="dxa" w:w="0"/>
              <w:bottom w:type="dxa" w:w="60"/>
              <w:right w:type="dxa" w:w="100"/>
            </w:tcMar>
          </w:tcPr>
          <w:p>
            <w:r>
              <w:rPr>
                <w:b/>
                <w:bCs/>
                <w:color w:val="1B2A4A"/>
                <w:sz w:val="20"/>
                <w:szCs w:val="20"/>
              </w:rPr>
              <w:t xml:space="preserve">Ch. 26–27</w:t>
            </w:r>
          </w:p>
        </w:tc>
        <w:tc>
          <w:tcPr>
            <w:tcW w:type="dxa" w:w="8000"/>
            <w:tcMar>
              <w:top w:type="dxa" w:w="60"/>
              <w:left w:type="dxa" w:w="0"/>
              <w:bottom w:type="dxa" w:w="60"/>
              <w:right w:type="dxa" w:w="0"/>
            </w:tcMar>
          </w:tcPr>
          <w:p>
            <w:r>
              <w:rPr>
                <w:sz w:val="20"/>
                <w:szCs w:val="20"/>
              </w:rPr>
              <w:t xml:space="preserve">Calibration &amp; Model Validation</w:t>
            </w:r>
          </w:p>
        </w:tc>
      </w:tr>
      <w:tr>
        <w:tc>
          <w:tcPr>
            <w:tcW w:type="dxa" w:w="1600"/>
            <w:tcMar>
              <w:top w:type="dxa" w:w="60"/>
              <w:left w:type="dxa" w:w="0"/>
              <w:bottom w:type="dxa" w:w="60"/>
              <w:right w:type="dxa" w:w="100"/>
            </w:tcMar>
          </w:tcPr>
          <w:p>
            <w:r>
              <w:rPr>
                <w:b/>
                <w:bCs/>
                <w:color w:val="1B2A4A"/>
                <w:sz w:val="20"/>
                <w:szCs w:val="20"/>
              </w:rPr>
              <w:t xml:space="preserve">Ch. 28–29</w:t>
            </w:r>
          </w:p>
        </w:tc>
        <w:tc>
          <w:tcPr>
            <w:tcW w:type="dxa" w:w="8000"/>
            <w:tcMar>
              <w:top w:type="dxa" w:w="60"/>
              <w:left w:type="dxa" w:w="0"/>
              <w:bottom w:type="dxa" w:w="60"/>
              <w:right w:type="dxa" w:w="0"/>
            </w:tcMar>
          </w:tcPr>
          <w:p>
            <w:r>
              <w:rPr>
                <w:sz w:val="20"/>
                <w:szCs w:val="20"/>
              </w:rPr>
              <w:t xml:space="preserve">Convergence Testing &amp; Sensitivity Analysis</w:t>
            </w:r>
          </w:p>
        </w:tc>
      </w:tr>
      <w:tr>
        <w:tc>
          <w:tcPr>
            <w:tcW w:type="dxa" w:w="1600"/>
            <w:tcMar>
              <w:top w:type="dxa" w:w="60"/>
              <w:left w:type="dxa" w:w="0"/>
              <w:bottom w:type="dxa" w:w="60"/>
              <w:right w:type="dxa" w:w="100"/>
            </w:tcMar>
          </w:tcPr>
          <w:p>
            <w:r>
              <w:rPr>
                <w:b/>
                <w:bCs/>
                <w:color w:val="1B2A4A"/>
                <w:sz w:val="20"/>
                <w:szCs w:val="20"/>
              </w:rPr>
              <w:t xml:space="preserve">Ch. 30</w:t>
            </w:r>
          </w:p>
        </w:tc>
        <w:tc>
          <w:tcPr>
            <w:tcW w:type="dxa" w:w="8000"/>
            <w:tcMar>
              <w:top w:type="dxa" w:w="60"/>
              <w:left w:type="dxa" w:w="0"/>
              <w:bottom w:type="dxa" w:w="60"/>
              <w:right w:type="dxa" w:w="0"/>
            </w:tcMar>
          </w:tcPr>
          <w:p>
            <w:r>
              <w:rPr>
                <w:sz w:val="20"/>
                <w:szCs w:val="20"/>
              </w:rPr>
              <w:t xml:space="preserve">The Complete Theory Hierarchy</w:t>
            </w:r>
          </w:p>
        </w:tc>
      </w:tr>
      <w:tr>
        <w:tc>
          <w:tcPr>
            <w:tcW w:type="dxa" w:w="1600"/>
            <w:tcMar>
              <w:top w:type="dxa" w:w="60"/>
              <w:left w:type="dxa" w:w="0"/>
              <w:bottom w:type="dxa" w:w="60"/>
              <w:right w:type="dxa" w:w="100"/>
            </w:tcMar>
          </w:tcPr>
          <w:p>
            <w:r>
              <w:rPr>
                <w:b/>
                <w:bCs/>
                <w:color w:val="1B2A4A"/>
                <w:sz w:val="20"/>
                <w:szCs w:val="20"/>
              </w:rPr>
              <w:t xml:space="preserve">Appendix A</w:t>
            </w:r>
          </w:p>
        </w:tc>
        <w:tc>
          <w:tcPr>
            <w:tcW w:type="dxa" w:w="8000"/>
            <w:tcMar>
              <w:top w:type="dxa" w:w="60"/>
              <w:left w:type="dxa" w:w="0"/>
              <w:bottom w:type="dxa" w:w="60"/>
              <w:right w:type="dxa" w:w="0"/>
            </w:tcMar>
          </w:tcPr>
          <w:p>
            <w:r>
              <w:rPr>
                <w:sz w:val="20"/>
                <w:szCs w:val="20"/>
              </w:rPr>
              <w:t xml:space="preserve">Project Readiness Levels (1 / 2 / 3)</w:t>
            </w:r>
          </w:p>
        </w:tc>
      </w:tr>
      <w:tr>
        <w:tc>
          <w:tcPr>
            <w:tcW w:type="dxa" w:w="1600"/>
            <w:tcMar>
              <w:top w:type="dxa" w:w="60"/>
              <w:left w:type="dxa" w:w="0"/>
              <w:bottom w:type="dxa" w:w="60"/>
              <w:right w:type="dxa" w:w="100"/>
            </w:tcMar>
          </w:tcPr>
          <w:p>
            <w:r>
              <w:rPr>
                <w:b/>
                <w:bCs/>
                <w:color w:val="1B2A4A"/>
                <w:sz w:val="20"/>
                <w:szCs w:val="20"/>
              </w:rPr>
              <w:t xml:space="preserve">Appendix B</w:t>
            </w:r>
          </w:p>
        </w:tc>
        <w:tc>
          <w:tcPr>
            <w:tcW w:type="dxa" w:w="8000"/>
            <w:tcMar>
              <w:top w:type="dxa" w:w="60"/>
              <w:left w:type="dxa" w:w="0"/>
              <w:bottom w:type="dxa" w:w="60"/>
              <w:right w:type="dxa" w:w="0"/>
            </w:tcMar>
          </w:tcPr>
          <w:p>
            <w:r>
              <w:rPr>
                <w:sz w:val="20"/>
                <w:szCs w:val="20"/>
              </w:rPr>
              <w:t xml:space="preserve">Target System Architecture</w:t>
            </w:r>
          </w:p>
        </w:tc>
      </w:tr>
    </w:tbl>
    <w:p>
      <w:r>
        <w:br w:type="page"/>
      </w:r>
    </w:p>
    <w:p>
      <w:pPr>
        <w:pStyle w:val="Heading1"/>
        <w:spacing w:after="200" w:before="400"/>
      </w:pPr>
      <w:r>
        <w:rPr>
          <w:b/>
          <w:bCs/>
          <w:color w:val="1B2A4A"/>
          <w:sz w:val="30"/>
          <w:szCs w:val="30"/>
        </w:rPr>
        <w:t xml:space="preserve">Chapter 0 — Prerequisites</w:t>
      </w:r>
    </w:p>
    <w:p>
      <w:pPr>
        <w:spacing w:after="160" w:line="300"/>
      </w:pPr>
      <w:r>
        <w:rPr>
          <w:color w:val="000000"/>
          <w:sz w:val="21"/>
          <w:szCs w:val="21"/>
        </w:rPr>
        <w:t xml:space="preserve">Before touching pricing models, be comfortable with four areas. Treat this as a checklist, not a course — tick items off as you refresh them.</w:t>
      </w:r>
    </w:p>
    <w:p>
      <w:pPr>
        <w:pStyle w:val="Heading2"/>
        <w:spacing w:after="120" w:before="240"/>
      </w:pPr>
      <w:r>
        <w:rPr>
          <w:b/>
          <w:bCs/>
          <w:color w:val="1B2A4A"/>
          <w:sz w:val="24"/>
          <w:szCs w:val="24"/>
        </w:rPr>
        <w:t xml:space="preserve">Probability</w:t>
      </w:r>
    </w:p>
    <w:p>
      <w:pPr>
        <w:spacing w:after="90" w:line="280"/>
        <w:ind w:left="360"/>
      </w:pPr>
      <w:r>
        <w:rPr>
          <w:color w:val="B08D57"/>
          <w:sz w:val="21"/>
          <w:szCs w:val="21"/>
        </w:rPr>
        <w:t xml:space="preserve">☐  </w:t>
      </w:r>
      <w:r>
        <w:rPr>
          <w:sz w:val="21"/>
          <w:szCs w:val="21"/>
        </w:rPr>
        <w:t xml:space="preserve">Random variables, expectation, variance &amp; covariance</w:t>
      </w:r>
    </w:p>
    <w:p>
      <w:pPr>
        <w:spacing w:after="90" w:line="280"/>
        <w:ind w:left="360"/>
      </w:pPr>
      <w:r>
        <w:rPr>
          <w:color w:val="B08D57"/>
          <w:sz w:val="21"/>
          <w:szCs w:val="21"/>
        </w:rPr>
        <w:t xml:space="preserve">☐  </w:t>
      </w:r>
      <w:r>
        <w:rPr>
          <w:sz w:val="21"/>
          <w:szCs w:val="21"/>
        </w:rPr>
        <w:t xml:space="preserve">Conditional expectation and conditional probability</w:t>
      </w:r>
    </w:p>
    <w:p>
      <w:pPr>
        <w:spacing w:after="90" w:line="280"/>
        <w:ind w:left="360"/>
      </w:pPr>
      <w:r>
        <w:rPr>
          <w:color w:val="B08D57"/>
          <w:sz w:val="21"/>
          <w:szCs w:val="21"/>
        </w:rPr>
        <w:t xml:space="preserve">☐  </w:t>
      </w:r>
      <w:r>
        <w:rPr>
          <w:sz w:val="21"/>
          <w:szCs w:val="21"/>
        </w:rPr>
        <w:t xml:space="preserve">Independence</w:t>
      </w:r>
    </w:p>
    <w:p>
      <w:pPr>
        <w:spacing w:after="90" w:line="280"/>
        <w:ind w:left="360"/>
      </w:pPr>
      <w:r>
        <w:rPr>
          <w:color w:val="B08D57"/>
          <w:sz w:val="21"/>
          <w:szCs w:val="21"/>
        </w:rPr>
        <w:t xml:space="preserve">☐  </w:t>
      </w:r>
      <w:r>
        <w:rPr>
          <w:sz w:val="21"/>
          <w:szCs w:val="21"/>
        </w:rPr>
        <w:t xml:space="preserve">Normal and lognormal distributions</w:t>
      </w:r>
    </w:p>
    <w:p>
      <w:pPr>
        <w:spacing w:after="90" w:line="280"/>
        <w:ind w:left="360"/>
      </w:pPr>
      <w:r>
        <w:rPr>
          <w:color w:val="B08D57"/>
          <w:sz w:val="21"/>
          <w:szCs w:val="21"/>
        </w:rPr>
        <w:t xml:space="preserve">☐  </w:t>
      </w:r>
      <w:r>
        <w:rPr>
          <w:sz w:val="21"/>
          <w:szCs w:val="21"/>
        </w:rPr>
        <w:t xml:space="preserve">Law of Large Numbers</w:t>
      </w:r>
    </w:p>
    <w:p>
      <w:pPr>
        <w:spacing w:after="90" w:line="280"/>
        <w:ind w:left="360"/>
      </w:pPr>
      <w:r>
        <w:rPr>
          <w:color w:val="B08D57"/>
          <w:sz w:val="21"/>
          <w:szCs w:val="21"/>
        </w:rPr>
        <w:t xml:space="preserve">☐  </w:t>
      </w:r>
      <w:r>
        <w:rPr>
          <w:sz w:val="21"/>
          <w:szCs w:val="21"/>
        </w:rPr>
        <w:t xml:space="preserve">Central Limit Theorem</w:t>
      </w:r>
    </w:p>
    <w:p>
      <w:pPr>
        <w:spacing w:after="90" w:line="280"/>
        <w:ind w:left="360"/>
      </w:pPr>
      <w:r>
        <w:rPr>
          <w:color w:val="B08D57"/>
          <w:sz w:val="21"/>
          <w:szCs w:val="21"/>
        </w:rPr>
        <w:t xml:space="preserve">☐  </w:t>
      </w:r>
      <w:r>
        <w:rPr>
          <w:sz w:val="21"/>
          <w:szCs w:val="21"/>
        </w:rPr>
        <w:t xml:space="preserve">Change of variables; joint distributions</w:t>
      </w:r>
    </w:p>
    <w:p>
      <w:pPr>
        <w:pStyle w:val="Heading2"/>
        <w:spacing w:after="120" w:before="240"/>
      </w:pPr>
      <w:r>
        <w:rPr>
          <w:b/>
          <w:bCs/>
          <w:color w:val="1B2A4A"/>
          <w:sz w:val="24"/>
          <w:szCs w:val="24"/>
        </w:rPr>
        <w:t xml:space="preserve">Statistics</w:t>
      </w:r>
    </w:p>
    <w:p>
      <w:pPr>
        <w:spacing w:after="90" w:line="280"/>
        <w:ind w:left="360"/>
      </w:pPr>
      <w:r>
        <w:rPr>
          <w:color w:val="B08D57"/>
          <w:sz w:val="21"/>
          <w:szCs w:val="21"/>
        </w:rPr>
        <w:t xml:space="preserve">☐  </w:t>
      </w:r>
      <w:r>
        <w:rPr>
          <w:sz w:val="21"/>
          <w:szCs w:val="21"/>
        </w:rPr>
        <w:t xml:space="preserve">Sample mean / variance</w:t>
      </w:r>
    </w:p>
    <w:p>
      <w:pPr>
        <w:spacing w:after="90" w:line="280"/>
        <w:ind w:left="360"/>
      </w:pPr>
      <w:r>
        <w:rPr>
          <w:color w:val="B08D57"/>
          <w:sz w:val="21"/>
          <w:szCs w:val="21"/>
        </w:rPr>
        <w:t xml:space="preserve">☐  </w:t>
      </w:r>
      <w:r>
        <w:rPr>
          <w:sz w:val="21"/>
          <w:szCs w:val="21"/>
        </w:rPr>
        <w:t xml:space="preserve">Maximum likelihood estimation</w:t>
      </w:r>
    </w:p>
    <w:p>
      <w:pPr>
        <w:spacing w:after="90" w:line="280"/>
        <w:ind w:left="360"/>
      </w:pPr>
      <w:r>
        <w:rPr>
          <w:color w:val="B08D57"/>
          <w:sz w:val="21"/>
          <w:szCs w:val="21"/>
        </w:rPr>
        <w:t xml:space="preserve">☐  </w:t>
      </w:r>
      <w:r>
        <w:rPr>
          <w:sz w:val="21"/>
          <w:szCs w:val="21"/>
        </w:rPr>
        <w:t xml:space="preserve">Confidence intervals; bias vs. variance</w:t>
      </w:r>
    </w:p>
    <w:p>
      <w:pPr>
        <w:spacing w:after="90" w:line="280"/>
        <w:ind w:left="360"/>
      </w:pPr>
      <w:r>
        <w:rPr>
          <w:color w:val="B08D57"/>
          <w:sz w:val="21"/>
          <w:szCs w:val="21"/>
        </w:rPr>
        <w:t xml:space="preserve">☐  </w:t>
      </w:r>
      <w:r>
        <w:rPr>
          <w:sz w:val="21"/>
          <w:szCs w:val="21"/>
        </w:rPr>
        <w:t xml:space="preserve">Monte Carlo estimation, standard error, and confidence intervals for simulation results</w:t>
      </w:r>
    </w:p>
    <w:p>
      <w:pPr>
        <w:pStyle w:val="Heading2"/>
        <w:spacing w:after="120" w:before="240"/>
      </w:pPr>
      <w:r>
        <w:rPr>
          <w:b/>
          <w:bCs/>
          <w:color w:val="1B2A4A"/>
          <w:sz w:val="24"/>
          <w:szCs w:val="24"/>
        </w:rPr>
        <w:t xml:space="preserve">Calculus</w:t>
      </w:r>
    </w:p>
    <w:p>
      <w:pPr>
        <w:spacing w:after="90" w:line="280"/>
        <w:ind w:left="360"/>
      </w:pPr>
      <w:r>
        <w:rPr>
          <w:color w:val="B08D57"/>
          <w:sz w:val="21"/>
          <w:szCs w:val="21"/>
        </w:rPr>
        <w:t xml:space="preserve">☐  </w:t>
      </w:r>
      <w:r>
        <w:rPr>
          <w:sz w:val="21"/>
          <w:szCs w:val="21"/>
        </w:rPr>
        <w:t xml:space="preserve">First and second derivatives; partial derivatives</w:t>
      </w:r>
    </w:p>
    <w:p>
      <w:pPr>
        <w:spacing w:after="90" w:line="280"/>
        <w:ind w:left="360"/>
      </w:pPr>
      <w:r>
        <w:rPr>
          <w:color w:val="B08D57"/>
          <w:sz w:val="21"/>
          <w:szCs w:val="21"/>
        </w:rPr>
        <w:t xml:space="preserve">☐  </w:t>
      </w:r>
      <w:r>
        <w:rPr>
          <w:sz w:val="21"/>
          <w:szCs w:val="21"/>
        </w:rPr>
        <w:t xml:space="preserve">Taylor expansion; chain rule</w:t>
      </w:r>
    </w:p>
    <w:p>
      <w:pPr>
        <w:spacing w:after="90" w:line="280"/>
        <w:ind w:left="360"/>
      </w:pPr>
      <w:r>
        <w:rPr>
          <w:color w:val="B08D57"/>
          <w:sz w:val="21"/>
          <w:szCs w:val="21"/>
        </w:rPr>
        <w:t xml:space="preserve">☐  </w:t>
      </w:r>
      <w:r>
        <w:rPr>
          <w:sz w:val="21"/>
          <w:szCs w:val="21"/>
        </w:rPr>
        <w:t xml:space="preserve">Multivariable calculus; integration</w:t>
      </w:r>
    </w:p>
    <w:p>
      <w:pPr>
        <w:spacing w:after="90" w:line="280"/>
        <w:ind w:left="360"/>
      </w:pPr>
      <w:r>
        <w:rPr>
          <w:color w:val="B08D57"/>
          <w:sz w:val="21"/>
          <w:szCs w:val="21"/>
        </w:rPr>
        <w:t xml:space="preserve">☐  </w:t>
      </w:r>
      <w:r>
        <w:rPr>
          <w:sz w:val="21"/>
          <w:szCs w:val="21"/>
        </w:rPr>
        <w:t xml:space="preserve">Basic differential equations</w:t>
      </w:r>
    </w:p>
    <w:p>
      <w:pPr>
        <w:pStyle w:val="Heading2"/>
        <w:spacing w:after="120" w:before="240"/>
      </w:pPr>
      <w:r>
        <w:rPr>
          <w:b/>
          <w:bCs/>
          <w:color w:val="1B2A4A"/>
          <w:sz w:val="24"/>
          <w:szCs w:val="24"/>
        </w:rPr>
        <w:t xml:space="preserve">Linear Algebra (basics only, for now)</w:t>
      </w:r>
    </w:p>
    <w:p>
      <w:pPr>
        <w:spacing w:after="90" w:line="280"/>
        <w:ind w:left="360"/>
      </w:pPr>
      <w:r>
        <w:rPr>
          <w:color w:val="B08D57"/>
          <w:sz w:val="21"/>
          <w:szCs w:val="21"/>
        </w:rPr>
        <w:t xml:space="preserve">☐  </w:t>
      </w:r>
      <w:r>
        <w:rPr>
          <w:sz w:val="21"/>
          <w:szCs w:val="21"/>
        </w:rPr>
        <w:t xml:space="preserve">Vectors and matrices</w:t>
      </w:r>
    </w:p>
    <w:p>
      <w:pPr>
        <w:spacing w:after="90" w:line="280"/>
        <w:ind w:left="360"/>
      </w:pPr>
      <w:r>
        <w:rPr>
          <w:color w:val="B08D57"/>
          <w:sz w:val="21"/>
          <w:szCs w:val="21"/>
        </w:rPr>
        <w:t xml:space="preserve">☐  </w:t>
      </w:r>
      <w:r>
        <w:rPr>
          <w:sz w:val="21"/>
          <w:szCs w:val="21"/>
        </w:rPr>
        <w:t xml:space="preserve">Covariance matrices</w:t>
      </w:r>
    </w:p>
    <w:p>
      <w:pPr>
        <w:spacing w:after="90" w:line="280"/>
        <w:ind w:left="360"/>
      </w:pPr>
      <w:r>
        <w:rPr>
          <w:color w:val="B08D57"/>
          <w:sz w:val="21"/>
          <w:szCs w:val="21"/>
        </w:rPr>
        <w:t xml:space="preserve">☐  </w:t>
      </w:r>
      <w:r>
        <w:rPr>
          <w:sz w:val="21"/>
          <w:szCs w:val="21"/>
        </w:rPr>
        <w:t xml:space="preserve">Eigenvalues / eigenvectors</w:t>
      </w:r>
    </w:p>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You do not need mastery here — just enough fluency that the derivations in later chapters read as familiar rather than foreign.</w:t>
      </w:r>
    </w:p>
    <w:p>
      <w:pPr>
        <w:pStyle w:val="Heading1"/>
        <w:spacing w:after="200" w:before="400"/>
      </w:pPr>
      <w:r>
        <w:rPr>
          <w:b/>
          <w:bCs/>
          <w:color w:val="1B2A4A"/>
          <w:sz w:val="30"/>
          <w:szCs w:val="30"/>
        </w:rPr>
        <w:t xml:space="preserve">Chapter 1 — Financial Foundations</w:t>
      </w:r>
    </w:p>
    <w:p>
      <w:pPr>
        <w:pStyle w:val="Heading2"/>
        <w:spacing w:after="120" w:before="240"/>
      </w:pPr>
      <w:r>
        <w:rPr>
          <w:b/>
          <w:bCs/>
          <w:color w:val="1B2A4A"/>
          <w:sz w:val="24"/>
          <w:szCs w:val="24"/>
        </w:rPr>
        <w:t xml:space="preserve">1.1 What is a derivative?</w:t>
      </w:r>
    </w:p>
    <w:p>
      <w:pPr>
        <w:spacing w:after="160" w:line="300"/>
      </w:pPr>
      <w:r>
        <w:rPr>
          <w:color w:val="000000"/>
          <w:sz w:val="21"/>
          <w:szCs w:val="21"/>
        </w:rPr>
        <w:t xml:space="preserve">A contract whose payoff depends on an underlying variable — equity, an interest rate, an FX rate, a commodity, or a credit instrument. For your first pricing engine, use equity options.</w:t>
      </w:r>
    </w:p>
    <w:p>
      <w:pPr>
        <w:pStyle w:val="Heading2"/>
        <w:spacing w:after="120" w:before="240"/>
      </w:pPr>
      <w:r>
        <w:rPr>
          <w:b/>
          <w:bCs/>
          <w:color w:val="1B2A4A"/>
          <w:sz w:val="24"/>
          <w:szCs w:val="24"/>
        </w:rPr>
        <w:t xml:space="preserve">1.2 Forward contracts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F = S · e^((r − q) · T)</w:t>
            </w:r>
          </w:p>
        </w:tc>
      </w:tr>
    </w:tbl>
    <w:p>
      <w:pPr>
        <w:spacing w:after="160" w:line="300"/>
      </w:pPr>
      <w:r>
        <w:rPr>
          <w:color w:val="000000"/>
          <w:sz w:val="21"/>
          <w:szCs w:val="21"/>
        </w:rPr>
        <w:t xml:space="preserve">where S = spot price, r = risk-free rate, q = dividend yield, T = maturity, F = forward price.</w:t>
      </w:r>
    </w:p>
    <w:p>
      <w:pPr>
        <w:spacing w:after="160" w:line="300"/>
      </w:pPr>
      <w:r>
        <w:rPr>
          <w:color w:val="000000"/>
          <w:sz w:val="21"/>
          <w:szCs w:val="21"/>
        </w:rPr>
        <w:t xml:space="preserve">You should be able to justify this formula, not just quote it, via the no-arbitrage / cash-and-carry argument: if the forward price deviated from this value, you could construct a riskless portfolio (borrow, buy spot, carry to maturity vs. enter the forward) that earns a risk-free profit — a contradiction in an arbitrage-free market. This argument is a favorite interview question.</w:t>
      </w:r>
    </w:p>
    <w:p>
      <w:pPr>
        <w:pStyle w:val="Heading1"/>
        <w:spacing w:after="200" w:before="400"/>
      </w:pPr>
      <w:r>
        <w:rPr>
          <w:b/>
          <w:bCs/>
          <w:color w:val="1B2A4A"/>
          <w:sz w:val="30"/>
          <w:szCs w:val="30"/>
        </w:rPr>
        <w:t xml:space="preserve">Chapter 2 — Options Theory</w:t>
      </w:r>
    </w:p>
    <w:p>
      <w:pPr>
        <w:pStyle w:val="Heading2"/>
        <w:spacing w:after="120" w:before="240"/>
      </w:pPr>
      <w:r>
        <w:rPr>
          <w:b/>
          <w:bCs/>
          <w:color w:val="1B2A4A"/>
          <w:sz w:val="24"/>
          <w:szCs w:val="24"/>
        </w:rPr>
        <w:t xml:space="preserve">2.1 Calls and puts</w:t>
      </w:r>
    </w:p>
    <w:p>
      <w:pPr>
        <w:spacing w:after="160" w:line="300"/>
      </w:pPr>
      <w:r>
        <w:rPr>
          <w:color w:val="000000"/>
          <w:sz w:val="21"/>
          <w:szCs w:val="21"/>
        </w:rPr>
        <w:t xml:space="preserve">European call payoff at maturity:</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Call payoff = max(S_T − K, 0)</w:t>
            </w:r>
          </w:p>
        </w:tc>
      </w:tr>
    </w:tbl>
    <w:p>
      <w:pPr>
        <w:spacing w:after="160" w:line="300"/>
      </w:pPr>
      <w:r>
        <w:rPr>
          <w:color w:val="000000"/>
          <w:sz w:val="21"/>
          <w:szCs w:val="21"/>
        </w:rPr>
        <w:t xml:space="preserve">European put payoff at maturity:</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Put payoff = max(K − S_T, 0)</w:t>
            </w:r>
          </w:p>
        </w:tc>
      </w:tr>
    </w:tbl>
    <w:p>
      <w:pPr>
        <w:spacing w:after="160" w:line="300"/>
      </w:pPr>
      <w:r>
        <w:rPr>
          <w:color w:val="000000"/>
          <w:sz w:val="21"/>
          <w:szCs w:val="21"/>
        </w:rPr>
        <w:t xml:space="preserve">Know each input cold: strike (K), spot (S), maturity (T), volatility (sigma), risk-free rate (r), dividend yield (q). Also know intrinsic value vs. time value, and moneyness.</w:t>
      </w:r>
    </w:p>
    <w:p>
      <w:pPr>
        <w:pStyle w:val="Heading2"/>
        <w:spacing w:after="120" w:before="240"/>
      </w:pPr>
      <w:r>
        <w:rPr>
          <w:b/>
          <w:bCs/>
          <w:color w:val="1B2A4A"/>
          <w:sz w:val="24"/>
          <w:szCs w:val="24"/>
        </w:rPr>
        <w:t xml:space="preserve">2.2 Moneyness</w:t>
      </w:r>
    </w:p>
    <w:p>
      <w:pPr>
        <w:pStyle w:val="ListParagraph"/>
        <w:numPr>
          <w:ilvl w:val="0"/>
          <w:numId w:val="2"/>
        </w:numPr>
        <w:spacing w:after="80" w:line="280"/>
      </w:pPr>
      <w:r>
        <w:rPr>
          <w:sz w:val="21"/>
          <w:szCs w:val="21"/>
        </w:rPr>
        <w:t xml:space="preserve">ITM (in the money), ATM (at the money), OTM (out of the money)</w:t>
      </w:r>
    </w:p>
    <w:p>
      <w:pPr>
        <w:pStyle w:val="ListParagraph"/>
        <w:numPr>
          <w:ilvl w:val="0"/>
          <w:numId w:val="2"/>
        </w:numPr>
        <w:spacing w:after="80" w:line="280"/>
      </w:pPr>
      <w:r>
        <w:rPr>
          <w:sz w:val="21"/>
          <w:szCs w:val="21"/>
        </w:rPr>
        <w:t xml:space="preserve">Moneyness ratio: S / K, or log-moneyness: ln(S / K)</w:t>
      </w:r>
    </w:p>
    <w:p>
      <w:pPr>
        <w:spacing w:after="160" w:line="300"/>
      </w:pPr>
      <w:r>
        <w:rPr>
          <w:color w:val="000000"/>
          <w:sz w:val="21"/>
          <w:szCs w:val="21"/>
        </w:rPr>
        <w:t xml:space="preserve">Understand how moneyness drives option value, delta, gamma, vega, and implied volatility — this connects directly to the Greeks chapters.</w:t>
      </w:r>
    </w:p>
    <w:p>
      <w:pPr>
        <w:pStyle w:val="Heading1"/>
        <w:spacing w:after="200" w:before="400"/>
      </w:pPr>
      <w:r>
        <w:rPr>
          <w:b/>
          <w:bCs/>
          <w:color w:val="1B2A4A"/>
          <w:sz w:val="30"/>
          <w:szCs w:val="30"/>
        </w:rPr>
        <w:t xml:space="preserve">Chapter 3 — Put-Call Parity</w:t>
      </w:r>
    </w:p>
    <w:p>
      <w:pPr>
        <w:spacing w:after="160" w:line="300"/>
      </w:pPr>
      <w:r>
        <w:rPr>
          <w:color w:val="000000"/>
          <w:sz w:val="21"/>
          <w:szCs w:val="21"/>
        </w:rPr>
        <w:t xml:space="preserve">Mandatory knowledge. For European options with no dividends: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C − P = S − K · e^(−rT)</w:t>
            </w:r>
          </w:p>
        </w:tc>
      </w:tr>
    </w:tbl>
    <w:p>
      <w:pPr>
        <w:spacing w:after="160" w:line="300"/>
      </w:pPr>
      <w:r>
        <w:rPr>
          <w:color w:val="000000"/>
          <w:sz w:val="21"/>
          <w:szCs w:val="21"/>
        </w:rPr>
        <w:t xml:space="preserve">With a continuous dividend yield:</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C − P = S · e^(−qT) − K · e^(−rT)</w:t>
            </w:r>
          </w:p>
        </w:tc>
      </w:tr>
    </w:tbl>
    <w:p>
      <w:pPr>
        <w:pStyle w:val="Heading2"/>
        <w:spacing w:after="120" w:before="240"/>
      </w:pPr>
      <w:r>
        <w:rPr>
          <w:b/>
          <w:bCs/>
          <w:color w:val="1B2A4A"/>
          <w:sz w:val="24"/>
          <w:szCs w:val="24"/>
        </w:rPr>
        <w:t xml:space="preserve">What you should be able to do</w:t>
      </w:r>
    </w:p>
    <w:p>
      <w:pPr>
        <w:spacing w:after="90" w:line="280"/>
        <w:ind w:left="360"/>
      </w:pPr>
      <w:r>
        <w:rPr>
          <w:color w:val="B08D57"/>
          <w:sz w:val="21"/>
          <w:szCs w:val="21"/>
        </w:rPr>
        <w:t xml:space="preserve">☐  </w:t>
      </w:r>
      <w:r>
        <w:rPr>
          <w:sz w:val="21"/>
          <w:szCs w:val="21"/>
        </w:rPr>
        <w:t xml:space="preserve">Derive it from a replication argument</w:t>
      </w:r>
    </w:p>
    <w:p>
      <w:pPr>
        <w:spacing w:after="90" w:line="280"/>
        <w:ind w:left="360"/>
      </w:pPr>
      <w:r>
        <w:rPr>
          <w:color w:val="B08D57"/>
          <w:sz w:val="21"/>
          <w:szCs w:val="21"/>
        </w:rPr>
        <w:t xml:space="preserve">☐  </w:t>
      </w:r>
      <w:r>
        <w:rPr>
          <w:sz w:val="21"/>
          <w:szCs w:val="21"/>
        </w:rPr>
        <w:t xml:space="preserve">Explain it intuitively (a call minus a put replicates a forward)</w:t>
      </w:r>
    </w:p>
    <w:p>
      <w:pPr>
        <w:spacing w:after="90" w:line="280"/>
        <w:ind w:left="360"/>
      </w:pPr>
      <w:r>
        <w:rPr>
          <w:color w:val="B08D57"/>
          <w:sz w:val="21"/>
          <w:szCs w:val="21"/>
        </w:rPr>
        <w:t xml:space="preserve">☐  </w:t>
      </w:r>
      <w:r>
        <w:rPr>
          <w:sz w:val="21"/>
          <w:szCs w:val="21"/>
        </w:rPr>
        <w:t xml:space="preserve">Use it to detect arbitrage in quoted prices</w:t>
      </w:r>
    </w:p>
    <w:p>
      <w:pPr>
        <w:spacing w:after="90" w:line="280"/>
        <w:ind w:left="360"/>
      </w:pPr>
      <w:r>
        <w:rPr>
          <w:color w:val="B08D57"/>
          <w:sz w:val="21"/>
          <w:szCs w:val="21"/>
        </w:rPr>
        <w:t xml:space="preserve">☐  </w:t>
      </w:r>
      <w:r>
        <w:rPr>
          <w:sz w:val="21"/>
          <w:szCs w:val="21"/>
        </w:rPr>
        <w:t xml:space="preserve">Use it as a unit test for your pricing engine — price a call and a put independently and confirm parity holds</w:t>
      </w:r>
    </w:p>
    <w:p>
      <w:pPr>
        <w:pStyle w:val="Heading1"/>
        <w:spacing w:after="200" w:before="400"/>
      </w:pPr>
      <w:r>
        <w:rPr>
          <w:b/>
          <w:bCs/>
          <w:color w:val="1B2A4A"/>
          <w:sz w:val="30"/>
          <w:szCs w:val="30"/>
        </w:rPr>
        <w:t xml:space="preserve">Chapter 4 — No-Arbitrage Pricing</w:t>
      </w:r>
    </w:p>
    <w:p>
      <w:pPr>
        <w:spacing w:after="160" w:line="300"/>
      </w:pPr>
      <w:r>
        <w:rPr>
          <w:color w:val="000000"/>
          <w:sz w:val="21"/>
          <w:szCs w:val="21"/>
        </w:rPr>
        <w:t xml:space="preserve">The conceptual foundation of everything that follows.</w:t>
      </w:r>
    </w:p>
    <w:p>
      <w:pPr>
        <w:pStyle w:val="Heading2"/>
        <w:spacing w:after="120" w:before="240"/>
      </w:pPr>
      <w:r>
        <w:rPr>
          <w:b/>
          <w:bCs/>
          <w:color w:val="1B2A4A"/>
          <w:sz w:val="24"/>
          <w:szCs w:val="24"/>
        </w:rPr>
        <w:t xml:space="preserve">Law of one price</w:t>
      </w:r>
    </w:p>
    <w:p>
      <w:pPr>
        <w:spacing w:after="160" w:line="300"/>
      </w:pPr>
      <w:r>
        <w:rPr>
          <w:color w:val="000000"/>
          <w:sz w:val="21"/>
          <w:szCs w:val="21"/>
        </w:rPr>
        <w:t xml:space="preserve">If two portfolios produce identical future cash flows in every state of the world, they must trade at the same price today — otherwise an arbitrage opportunity exists (buy the cheap one, sell the expensive one, pocket the riskless difference).</w:t>
      </w:r>
    </w:p>
    <w:p>
      <w:pPr>
        <w:pStyle w:val="Heading2"/>
        <w:spacing w:after="120" w:before="240"/>
      </w:pPr>
      <w:r>
        <w:rPr>
          <w:b/>
          <w:bCs/>
          <w:color w:val="1B2A4A"/>
          <w:sz w:val="24"/>
          <w:szCs w:val="24"/>
        </w:rPr>
        <w:t xml:space="preserve">Replication</w:t>
      </w:r>
    </w:p>
    <w:p>
      <w:pPr>
        <w:spacing w:after="160" w:line="300"/>
      </w:pPr>
      <w:r>
        <w:rPr>
          <w:color w:val="000000"/>
          <w:sz w:val="21"/>
          <w:szCs w:val="21"/>
        </w:rPr>
        <w:t xml:space="preserve">If you can construct a portfolio of traded instruments that exactly replicates an option's payoff, the option's price must equal the cost of that portfolio. This idea — replication — leads directly into the binomial model and then into Black–Scholes.</w:t>
      </w:r>
    </w:p>
    <w:p>
      <w:pPr>
        <w:pStyle w:val="Heading1"/>
        <w:spacing w:after="200" w:before="400"/>
      </w:pPr>
      <w:r>
        <w:rPr>
          <w:b/>
          <w:bCs/>
          <w:color w:val="1B2A4A"/>
          <w:sz w:val="30"/>
          <w:szCs w:val="30"/>
        </w:rPr>
        <w:t xml:space="preserve">Chapter 5 — The Binomial Model</w:t>
      </w:r>
    </w:p>
    <w:p>
      <w:pPr>
        <w:spacing w:after="160" w:line="300"/>
      </w:pPr>
      <w:r>
        <w:rPr>
          <w:color w:val="000000"/>
          <w:sz w:val="21"/>
          <w:szCs w:val="21"/>
        </w:rPr>
        <w:t xml:space="preserve">This should be your first actual pricing model, and the first place Delta appears naturally rather than as a formula you're told to memorize.</w:t>
      </w:r>
    </w:p>
    <w:p>
      <w:pPr>
        <w:pStyle w:val="Heading2"/>
        <w:spacing w:after="120" w:before="240"/>
      </w:pPr>
      <w:r>
        <w:rPr>
          <w:b/>
          <w:bCs/>
          <w:color w:val="1B2A4A"/>
          <w:sz w:val="24"/>
          <w:szCs w:val="24"/>
        </w:rPr>
        <w:t xml:space="preserve">5.1 One-period binomial model</w:t>
      </w:r>
    </w:p>
    <w:p>
      <w:pPr>
        <w:spacing w:after="160" w:line="300"/>
      </w:pPr>
      <w:r>
        <w:rPr>
          <w:color w:val="000000"/>
          <w:sz w:val="21"/>
          <w:szCs w:val="21"/>
        </w:rPr>
        <w:t xml:space="preserve">Assume the stock at S can move up to S_u = S·u or down to S_d = S·d over one period. The corresponding option values are C_u and C_d.</w:t>
      </w:r>
    </w:p>
    <w:p>
      <w:pPr>
        <w:spacing w:after="160" w:line="300"/>
      </w:pPr>
      <w:r>
        <w:rPr>
          <w:color w:val="000000"/>
          <w:sz w:val="21"/>
          <w:szCs w:val="21"/>
        </w:rPr>
        <w:t xml:space="preserve">Construct a replicating portfolio of Δ shares of stock plus B in the risk-free bond, chosen so its payoff matches the option in both the up and down states: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Δ·S_u + B·(1+r) = C_u</w:t>
            </w:r>
          </w:p>
          <w:p>
            <w:pPr>
              <w:spacing w:after="40"/>
            </w:pPr>
            <w:r>
              <w:rPr>
                <w:rFonts w:ascii="Courier New" w:cs="Courier New" w:eastAsia="Courier New" w:hAnsi="Courier New"/>
                <w:color w:val="1B2A4A"/>
                <w:sz w:val="21"/>
                <w:szCs w:val="21"/>
              </w:rPr>
              <w:t xml:space="preserve">Δ·S_d + B·(1+r) = C_d</w:t>
            </w:r>
          </w:p>
        </w:tc>
      </w:tr>
    </w:tbl>
    <w:p>
      <w:pPr>
        <w:spacing w:after="160" w:line="300"/>
      </w:pPr>
      <w:r>
        <w:rPr>
          <w:color w:val="000000"/>
          <w:sz w:val="21"/>
          <w:szCs w:val="21"/>
        </w:rPr>
        <w:t xml:space="preserve">Solving these two equations simultaneously gives: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Delta = (C_u − C_d) / (S_u − S_d)</w:t>
            </w:r>
          </w:p>
        </w:tc>
      </w:tr>
    </w:tbl>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This is why Delta is called the hedge ratio: it falls out of solving the replication equations, not from calculus.</w:t>
      </w:r>
    </w:p>
    <w:p>
      <w:pPr>
        <w:pStyle w:val="Heading1"/>
        <w:spacing w:after="200" w:before="400"/>
      </w:pPr>
      <w:r>
        <w:rPr>
          <w:b/>
          <w:bCs/>
          <w:color w:val="1B2A4A"/>
          <w:sz w:val="30"/>
          <w:szCs w:val="30"/>
        </w:rPr>
        <w:t xml:space="preserve">Chapter 6 — Risk-Neutral Pricing</w:t>
      </w:r>
    </w:p>
    <w:p>
      <w:pPr>
        <w:spacing w:after="160" w:line="300"/>
      </w:pPr>
      <w:r>
        <w:rPr>
          <w:color w:val="000000"/>
          <w:sz w:val="21"/>
          <w:szCs w:val="21"/>
        </w:rPr>
        <w:t xml:space="preserve">One of the most important — and most misunderstood — concepts in derivatives pricing.</w:t>
      </w:r>
    </w:p>
    <w:p>
      <w:pPr>
        <w:pStyle w:val="Heading2"/>
        <w:spacing w:after="120" w:before="240"/>
      </w:pPr>
      <w:r>
        <w:rPr>
          <w:b/>
          <w:bCs/>
          <w:color w:val="1B2A4A"/>
          <w:sz w:val="24"/>
          <w:szCs w:val="24"/>
        </w:rPr>
        <w:t xml:space="preserve">The risk-neutral probability</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p = (e^(rT) − d) / (u − d)</w:t>
            </w:r>
          </w:p>
        </w:tc>
      </w:tr>
    </w:tbl>
    <w:p>
      <w:pPr>
        <w:spacing w:after="160" w:line="300"/>
      </w:pPr>
      <w:r>
        <w:rPr>
          <w:color w:val="000000"/>
          <w:sz w:val="21"/>
          <w:szCs w:val="21"/>
        </w:rPr>
        <w:t xml:space="preserve">The option price is then the discounted expected payoff under this probability:</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C = e^(−rT) · [ p·C_u + (1−p)·C_d ]</w:t>
            </w:r>
          </w:p>
        </w:tc>
      </w:tr>
    </w:tbl>
    <w:p>
      <w:pPr>
        <w:pStyle w:val="Heading2"/>
        <w:spacing w:after="120" w:before="240"/>
      </w:pPr>
      <w:r>
        <w:rPr>
          <w:b/>
          <w:bCs/>
          <w:color w:val="1B2A4A"/>
          <w:sz w:val="24"/>
          <w:szCs w:val="24"/>
        </w:rPr>
        <w:t xml:space="preserve">What 'risk-neutral' actually means</w:t>
      </w:r>
    </w:p>
    <w:p>
      <w:pPr>
        <w:spacing w:after="160" w:line="300"/>
      </w:pPr>
      <w:r>
        <w:rPr>
          <w:color w:val="000000"/>
          <w:sz w:val="21"/>
          <w:szCs w:val="21"/>
        </w:rPr>
        <w:t xml:space="preserve">It does not mean investors are indifferent to risk. It means that under this particular probability measure — constructed purely from the replication argument — every asset's expected growth rate equals the risk-free rate, so discounted asset prices are martingales. Derivative prices can then always be written as a discounted expectation of the payoff under this measure. This reframing — pricing by replication and no-arbitrage rather than by investors' actual risk preferences — is a major interview topic and the conceptual key that unlocks Black–Scholes.</w:t>
      </w:r>
    </w:p>
    <w:p>
      <w:pPr>
        <w:pStyle w:val="Heading1"/>
        <w:spacing w:after="200" w:before="400"/>
      </w:pPr>
      <w:r>
        <w:rPr>
          <w:b/>
          <w:bCs/>
          <w:color w:val="1B2A4A"/>
          <w:sz w:val="30"/>
          <w:szCs w:val="30"/>
        </w:rPr>
        <w:t xml:space="preserve">Chapter 7 — Binomial → Black–Scholes</w:t>
      </w:r>
    </w:p>
    <w:p>
      <w:pPr>
        <w:spacing w:after="160" w:line="300"/>
      </w:pPr>
      <w:r>
        <w:rPr>
          <w:color w:val="000000"/>
          <w:sz w:val="21"/>
          <w:szCs w:val="21"/>
        </w:rPr>
        <w:t xml:space="preserve">Understand the conceptual progression, even without proving the full convergence theorem: as the number of steps in the binomial tree increases (holding total time to maturity fixed), each step shrinks, the up/down moves are chosen to match the stock's volatility over that shrinking interval, and the discrete-time binomial price converges to the continuous-time Black–Scholes price.</w:t>
      </w:r>
    </w:p>
    <w:p>
      <w:pPr>
        <w:spacing w:after="160" w:line="300"/>
      </w:pPr>
      <w:r>
        <w:rPr>
          <w:color w:val="000000"/>
          <w:sz w:val="21"/>
          <w:szCs w:val="21"/>
        </w:rPr>
        <w:t xml:space="preserve">Your engine should implement both models and explicitly plot binomial price vs. number of steps, showing the curve flattening onto the Black–Scholes value — this is one of your first and best validation charts.</w:t>
      </w:r>
    </w:p>
    <w:p>
      <w:pPr>
        <w:pStyle w:val="Heading1"/>
        <w:spacing w:after="200" w:before="400"/>
      </w:pPr>
      <w:r>
        <w:rPr>
          <w:b/>
          <w:bCs/>
          <w:color w:val="1B2A4A"/>
          <w:sz w:val="30"/>
          <w:szCs w:val="30"/>
        </w:rPr>
        <w:t xml:space="preserve">Chapter 8 — Stochastic Processes: Brownian Motion</w:t>
      </w:r>
    </w:p>
    <w:p>
      <w:pPr>
        <w:spacing w:after="160" w:line="300"/>
      </w:pPr>
      <w:r>
        <w:rPr>
          <w:color w:val="000000"/>
          <w:sz w:val="21"/>
          <w:szCs w:val="21"/>
        </w:rPr>
        <w:t xml:space="preserve">This is where the mathematical depth increases. A standard Brownian motion (Wiener process) W_t satisfies:</w:t>
      </w:r>
    </w:p>
    <w:p>
      <w:pPr>
        <w:pStyle w:val="ListParagraph"/>
        <w:numPr>
          <w:ilvl w:val="0"/>
          <w:numId w:val="2"/>
        </w:numPr>
        <w:spacing w:after="80" w:line="280"/>
      </w:pPr>
      <w:r>
        <w:rPr>
          <w:sz w:val="21"/>
          <w:szCs w:val="21"/>
        </w:rPr>
        <w:t xml:space="preserve">W_0 = 0</w:t>
      </w:r>
    </w:p>
    <w:p>
      <w:pPr>
        <w:pStyle w:val="ListParagraph"/>
        <w:numPr>
          <w:ilvl w:val="0"/>
          <w:numId w:val="2"/>
        </w:numPr>
        <w:spacing w:after="80" w:line="280"/>
      </w:pPr>
      <w:r>
        <w:rPr>
          <w:sz w:val="21"/>
          <w:szCs w:val="21"/>
        </w:rPr>
        <w:t xml:space="preserve">Independent increments: W_t − W_s is independent of the path up to time s</w:t>
      </w:r>
    </w:p>
    <w:p>
      <w:pPr>
        <w:pStyle w:val="ListParagraph"/>
        <w:numPr>
          <w:ilvl w:val="0"/>
          <w:numId w:val="2"/>
        </w:numPr>
        <w:spacing w:after="80" w:line="280"/>
      </w:pPr>
      <w:r>
        <w:rPr>
          <w:sz w:val="21"/>
          <w:szCs w:val="21"/>
        </w:rPr>
        <w:t xml:space="preserve">Stationary, normally distributed increments: W_t − W_s ~ Normal(0, t − s)</w:t>
      </w:r>
    </w:p>
    <w:p>
      <w:pPr>
        <w:pStyle w:val="ListParagraph"/>
        <w:numPr>
          <w:ilvl w:val="0"/>
          <w:numId w:val="2"/>
        </w:numPr>
        <w:spacing w:after="80" w:line="280"/>
      </w:pPr>
      <w:r>
        <w:rPr>
          <w:sz w:val="21"/>
          <w:szCs w:val="21"/>
        </w:rPr>
        <w:t xml:space="preserve">Continuous paths (no jumps)</w:t>
      </w:r>
    </w:p>
    <w:p>
      <w:pPr>
        <w:pStyle w:val="ListParagraph"/>
        <w:numPr>
          <w:ilvl w:val="0"/>
          <w:numId w:val="2"/>
        </w:numPr>
        <w:spacing w:after="80" w:line="280"/>
      </w:pPr>
      <w:r>
        <w:rPr>
          <w:sz w:val="21"/>
          <w:szCs w:val="21"/>
        </w:rPr>
        <w:t xml:space="preserve">Variance grows linearly with time</w:t>
      </w:r>
    </w:p>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Every later stochastic model — GBM, Itô's lemma, Black–Scholes — is built on these four properties, so make sure each one is intuitive, not just memorized.</w:t>
      </w:r>
    </w:p>
    <w:p>
      <w:pPr>
        <w:pStyle w:val="Heading1"/>
        <w:spacing w:after="200" w:before="400"/>
      </w:pPr>
      <w:r>
        <w:rPr>
          <w:b/>
          <w:bCs/>
          <w:color w:val="1B2A4A"/>
          <w:sz w:val="30"/>
          <w:szCs w:val="30"/>
        </w:rPr>
        <w:t xml:space="preserve">Chapter 9 — Geometric Brownian Motion (GBM)</w:t>
      </w:r>
    </w:p>
    <w:p>
      <w:pPr>
        <w:spacing w:after="160" w:line="300"/>
      </w:pPr>
      <w:r>
        <w:rPr>
          <w:color w:val="000000"/>
          <w:sz w:val="21"/>
          <w:szCs w:val="21"/>
        </w:rPr>
        <w:t xml:space="preserve">The standard model for a stock price:</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dS = mu·S·dt + sigma·S·dW</w:t>
            </w:r>
          </w:p>
        </w:tc>
      </w:tr>
    </w:tbl>
    <w:p>
      <w:pPr>
        <w:spacing w:after="160" w:line="300"/>
      </w:pPr>
      <w:r>
        <w:rPr>
          <w:color w:val="000000"/>
          <w:sz w:val="21"/>
          <w:szCs w:val="21"/>
        </w:rPr>
        <w:t xml:space="preserve">The first term, mu·S·dt, is the drift — the deterministic average growth rate. The second term, sigma·S·dW, is the diffusion — the random shock, scaled by volatility and the current price level (so bigger stocks move more in dollar terms but the same in percentage terms).</w:t>
      </w:r>
    </w:p>
    <w:p>
      <w:pPr>
        <w:spacing w:after="160" w:line="300"/>
      </w:pPr>
      <w:r>
        <w:rPr>
          <w:color w:val="000000"/>
          <w:sz w:val="21"/>
          <w:szCs w:val="21"/>
        </w:rPr>
        <w:t xml:space="preserve">Understand why prices are modeled multiplicatively (proportional shocks) rather than additively: it keeps prices positive and matches the empirically log-normal distribution of returns.</w:t>
      </w:r>
    </w:p>
    <w:p>
      <w:pPr>
        <w:pStyle w:val="Heading1"/>
        <w:spacing w:after="200" w:before="400"/>
      </w:pPr>
      <w:r>
        <w:rPr>
          <w:b/>
          <w:bCs/>
          <w:color w:val="1B2A4A"/>
          <w:sz w:val="30"/>
          <w:szCs w:val="30"/>
        </w:rPr>
        <w:t xml:space="preserve">Chapter 10 — Itô's Lemma</w:t>
      </w:r>
    </w:p>
    <w:p>
      <w:pPr>
        <w:spacing w:after="160" w:line="300"/>
      </w:pPr>
      <w:r>
        <w:rPr>
          <w:color w:val="000000"/>
          <w:sz w:val="21"/>
          <w:szCs w:val="21"/>
        </w:rPr>
        <w:t xml:space="preserve">Essential if the project should look genuinely quantitative rather than purely computational. For a function f(S, t) where S follows GBM, Itô's lemma gives the stochastic differential of f:</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df = ( df/dt + mu·S·df/dS + 0.5·sigma^2·S^2·d2f/dS2 ) dt</w:t>
            </w:r>
          </w:p>
          <w:p>
            <w:pPr>
              <w:spacing w:after="40"/>
            </w:pPr>
            <w:r>
              <w:rPr>
                <w:rFonts w:ascii="Courier New" w:cs="Courier New" w:eastAsia="Courier New" w:hAnsi="Courier New"/>
                <w:color w:val="1B2A4A"/>
                <w:sz w:val="21"/>
                <w:szCs w:val="21"/>
              </w:rPr>
              <w:t xml:space="preserve">     + sigma·S·(df/dS) dW</w:t>
            </w:r>
          </w:p>
        </w:tc>
      </w:tr>
    </w:tbl>
    <w:p>
      <w:pPr>
        <w:spacing w:after="160" w:line="300"/>
      </w:pPr>
      <w:r>
        <w:rPr>
          <w:color w:val="000000"/>
          <w:sz w:val="21"/>
          <w:szCs w:val="21"/>
        </w:rPr>
        <w:t xml:space="preserve">The extra second-derivative term (the '0.5·sigma^2·S^2·d2f/dS2' piece) is the key difference from ordinary calculus — it exists because (dW)^2 behaves like dt, not like zero, when W is Brownian motion.</w:t>
      </w:r>
    </w:p>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Work through the derivation by hand at least once using a Taylor expansion of f(S+dS, t+dt) and substituting the GBM dynamics for dS. Being able to reproduce this — not just recall the result — is exactly what distinguishes 'quant candidate' from 'has read about Black–Scholes.'</w:t>
      </w:r>
    </w:p>
    <w:p>
      <w:pPr>
        <w:pStyle w:val="Heading1"/>
        <w:spacing w:after="200" w:before="400"/>
      </w:pPr>
      <w:r>
        <w:rPr>
          <w:b/>
          <w:bCs/>
          <w:color w:val="1B2A4A"/>
          <w:sz w:val="30"/>
          <w:szCs w:val="30"/>
        </w:rPr>
        <w:t xml:space="preserve">Chapter 11 — The Black–Scholes Derivation</w:t>
      </w:r>
    </w:p>
    <w:p>
      <w:pPr>
        <w:spacing w:after="160" w:line="300"/>
      </w:pPr>
      <w:r>
        <w:rPr>
          <w:color w:val="000000"/>
          <w:sz w:val="21"/>
          <w:szCs w:val="21"/>
        </w:rPr>
        <w:t xml:space="preserve">The core theoretical section of the whole project. Starting point: the stock follows GBM, dS = mu·S·dt + sigma·S·dW. Apply Itô's lemma to the option value V(S, t).</w:t>
      </w:r>
    </w:p>
    <w:p>
      <w:pPr>
        <w:spacing w:after="160" w:line="300"/>
      </w:pPr>
      <w:r>
        <w:rPr>
          <w:color w:val="000000"/>
          <w:sz w:val="21"/>
          <w:szCs w:val="21"/>
        </w:rPr>
        <w:t xml:space="preserve">Construct a hedged portfolio: long one option, short Delta shares of stock. Choose Delta = dV/dS specifically so that the random (dW) terms in the portfolio's change cancel out — the portfolio becomes instantaneously riskless.</w:t>
      </w:r>
    </w:p>
    <w:p>
      <w:pPr>
        <w:spacing w:after="160" w:line="300"/>
      </w:pPr>
      <w:r>
        <w:rPr>
          <w:color w:val="000000"/>
          <w:sz w:val="21"/>
          <w:szCs w:val="21"/>
        </w:rPr>
        <w:t xml:space="preserve">A riskless portfolio must earn the risk-free rate (no-arbitrage). Setting the portfolio's deterministic return equal to r·(portfolio value) and simplifying yields the Black–Scholes partial differential equation:</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dV/dt + r·S·(dV/dS) + 0.5·sigma^2·S^2·(d2V/dS2) − r·V = 0</w:t>
            </w:r>
          </w:p>
        </w:tc>
      </w:tr>
    </w:tbl>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Notice mu (the stock's real-world expected return) has completely disappeared from the PDE. This is the single most important insight in the derivation: because the hedge is self-financing and instantaneously riskless, an option's price does not depend on how fast investors expect the stock to grow — only on volatility, the risk-free rate, and the payoff structure. Be ready to explain, in plain language, why mu drops out.</w:t>
      </w:r>
    </w:p>
    <w:p>
      <w:pPr>
        <w:pStyle w:val="Heading1"/>
        <w:spacing w:after="200" w:before="400"/>
      </w:pPr>
      <w:r>
        <w:rPr>
          <w:b/>
          <w:bCs/>
          <w:color w:val="1B2A4A"/>
          <w:sz w:val="30"/>
          <w:szCs w:val="30"/>
        </w:rPr>
        <w:t xml:space="preserve">Chapter 12 — The Black–Scholes Formula</w:t>
      </w:r>
    </w:p>
    <w:p>
      <w:pPr>
        <w:spacing w:after="160" w:line="300"/>
      </w:pPr>
      <w:r>
        <w:rPr>
          <w:color w:val="000000"/>
          <w:sz w:val="21"/>
          <w:szCs w:val="21"/>
        </w:rPr>
        <w:t xml:space="preserve">The closed-form solution to the PDE for a European call:</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C = S·e^(−qT)·N(d1) − K·e^(−rT)·N(d2)</w:t>
            </w:r>
          </w:p>
        </w:tc>
      </w:tr>
    </w:tbl>
    <w:p>
      <w:pPr>
        <w:spacing w:after="160" w:line="300"/>
      </w:pPr>
      <w:r>
        <w:rPr>
          <w:color w:val="000000"/>
          <w:sz w:val="21"/>
          <w:szCs w:val="21"/>
        </w:rPr>
        <w:t xml:space="preserve">where:</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d1 = [ ln(S/K) + (r − q + 0.5·sigma^2)·T ] / (sigma·sqrt(T))</w:t>
            </w:r>
          </w:p>
          <w:p>
            <w:pPr>
              <w:spacing w:after="40"/>
            </w:pPr>
            <w:r>
              <w:rPr>
                <w:rFonts w:ascii="Courier New" w:cs="Courier New" w:eastAsia="Courier New" w:hAnsi="Courier New"/>
                <w:color w:val="1B2A4A"/>
                <w:sz w:val="21"/>
                <w:szCs w:val="21"/>
              </w:rPr>
              <w:t xml:space="preserve">d2 = d1 − sigma·sqrt(T)</w:t>
            </w:r>
          </w:p>
        </w:tc>
      </w:tr>
    </w:tbl>
    <w:p>
      <w:pPr>
        <w:spacing w:after="160" w:line="300"/>
      </w:pPr>
      <w:r>
        <w:rPr>
          <w:color w:val="000000"/>
          <w:sz w:val="21"/>
          <w:szCs w:val="21"/>
        </w:rPr>
        <w:t xml:space="preserve">and N(·) is the standard normal cumulative distribution function. The corresponding put (from put-call parity):</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P = K·e^(−rT)·N(−d2) − S·e^(−qT)·N(−d1)</w:t>
            </w:r>
          </w:p>
        </w:tc>
      </w:tr>
    </w:tbl>
    <w:p>
      <w:pPr>
        <w:spacing w:after="160" w:line="300"/>
      </w:pPr>
      <w:r>
        <w:rPr>
          <w:color w:val="000000"/>
          <w:sz w:val="21"/>
          <w:szCs w:val="21"/>
        </w:rPr>
        <w:t xml:space="preserve">Don't just memorize N(d1) and N(d2) as formulas — know how to interpret them: N(d2) is (loosely) the risk-neutral probability the option finishes in the money, and e^(−qT)·N(d1) is the hedge ratio (Delta) of the call. Also be able to interpret S, K, T, and sigma's role in shifting these terms.</w:t>
      </w:r>
    </w:p>
    <w:p>
      <w:pPr>
        <w:pStyle w:val="Heading1"/>
        <w:spacing w:after="200" w:before="400"/>
      </w:pPr>
      <w:r>
        <w:rPr>
          <w:b/>
          <w:bCs/>
          <w:color w:val="1B2A4A"/>
          <w:sz w:val="30"/>
          <w:szCs w:val="30"/>
        </w:rPr>
        <w:t xml:space="preserve">Chapter 13–14 — The Greeks &amp; Their Relationships</w:t>
      </w:r>
    </w:p>
    <w:p>
      <w:pPr>
        <w:pStyle w:val="Heading2"/>
        <w:spacing w:after="120" w:before="240"/>
      </w:pPr>
      <w:r>
        <w:rPr>
          <w:b/>
          <w:bCs/>
          <w:color w:val="1B2A4A"/>
          <w:sz w:val="24"/>
          <w:szCs w:val="24"/>
        </w:rPr>
        <w:t xml:space="preserve">Delta — dV/dS</w:t>
      </w:r>
    </w:p>
    <w:p>
      <w:pPr>
        <w:spacing w:after="160" w:line="300"/>
      </w:pPr>
      <w:r>
        <w:rPr>
          <w:color w:val="000000"/>
          <w:sz w:val="21"/>
          <w:szCs w:val="21"/>
        </w:rPr>
        <w:t xml:space="preserve">Sensitivity of option value to the underlying price. For a call, Delta = e^(−qT)·N(d1).</w:t>
      </w:r>
    </w:p>
    <w:p>
      <w:pPr>
        <w:pStyle w:val="Heading2"/>
        <w:spacing w:after="120" w:before="240"/>
      </w:pPr>
      <w:r>
        <w:rPr>
          <w:b/>
          <w:bCs/>
          <w:color w:val="1B2A4A"/>
          <w:sz w:val="24"/>
          <w:szCs w:val="24"/>
        </w:rPr>
        <w:t xml:space="preserve">Gamma — d2V/dS2</w:t>
      </w:r>
    </w:p>
    <w:p>
      <w:pPr>
        <w:spacing w:after="160" w:line="300"/>
      </w:pPr>
      <w:r>
        <w:rPr>
          <w:color w:val="000000"/>
          <w:sz w:val="21"/>
          <w:szCs w:val="21"/>
        </w:rPr>
        <w:t xml:space="preserve">The curvature of the option value with respect to the underlying — i.e., how fast Delta itself changes. Understand why Gamma peaks near-the-money and close to expiry: that's precisely where a small move in the stock can flip the option between likely-ITM and likely-OTM, so Delta is most sensitive there.</w:t>
      </w:r>
    </w:p>
    <w:p>
      <w:pPr>
        <w:pStyle w:val="Heading2"/>
        <w:spacing w:after="120" w:before="240"/>
      </w:pPr>
      <w:r>
        <w:rPr>
          <w:b/>
          <w:bCs/>
          <w:color w:val="1B2A4A"/>
          <w:sz w:val="24"/>
          <w:szCs w:val="24"/>
        </w:rPr>
        <w:t xml:space="preserve">Vega — dV/dsigma</w:t>
      </w:r>
    </w:p>
    <w:p>
      <w:pPr>
        <w:spacing w:after="160" w:line="300"/>
      </w:pPr>
      <w:r>
        <w:rPr>
          <w:color w:val="000000"/>
          <w:sz w:val="21"/>
          <w:szCs w:val="21"/>
        </w:rPr>
        <w:t xml:space="preserve">Sensitivity to volatility. Always positive for long vanilla options — more uncertainty raises the value of optionality.</w:t>
      </w:r>
    </w:p>
    <w:p>
      <w:pPr>
        <w:pStyle w:val="Heading2"/>
        <w:spacing w:after="120" w:before="240"/>
      </w:pPr>
      <w:r>
        <w:rPr>
          <w:b/>
          <w:bCs/>
          <w:color w:val="1B2A4A"/>
          <w:sz w:val="24"/>
          <w:szCs w:val="24"/>
        </w:rPr>
        <w:t xml:space="preserve">Theta — dV/dt</w:t>
      </w:r>
    </w:p>
    <w:p>
      <w:pPr>
        <w:spacing w:after="160" w:line="300"/>
      </w:pPr>
      <w:r>
        <w:rPr>
          <w:color w:val="000000"/>
          <w:sz w:val="21"/>
          <w:szCs w:val="21"/>
        </w:rPr>
        <w:t xml:space="preserve">Sensitivity to the passage of time ('time decay'), usually negative for long options as time value erodes toward expiry.</w:t>
      </w:r>
    </w:p>
    <w:p>
      <w:pPr>
        <w:pStyle w:val="Heading2"/>
        <w:spacing w:after="120" w:before="240"/>
      </w:pPr>
      <w:r>
        <w:rPr>
          <w:b/>
          <w:bCs/>
          <w:color w:val="1B2A4A"/>
          <w:sz w:val="24"/>
          <w:szCs w:val="24"/>
        </w:rPr>
        <w:t xml:space="preserve">Rho — dV/dr</w:t>
      </w:r>
    </w:p>
    <w:p>
      <w:pPr>
        <w:spacing w:after="160" w:line="300"/>
      </w:pPr>
      <w:r>
        <w:rPr>
          <w:color w:val="000000"/>
          <w:sz w:val="21"/>
          <w:szCs w:val="21"/>
        </w:rPr>
        <w:t xml:space="preserve">Sensitivity to the risk-free interest rate.</w:t>
      </w:r>
    </w:p>
    <w:p>
      <w:pPr>
        <w:pStyle w:val="Heading2"/>
        <w:spacing w:after="120" w:before="240"/>
      </w:pPr>
      <w:r>
        <w:rPr>
          <w:b/>
          <w:bCs/>
          <w:color w:val="1B2A4A"/>
          <w:sz w:val="24"/>
          <w:szCs w:val="24"/>
        </w:rPr>
        <w:t xml:space="preserve">Relationships worth internalizing</w:t>
      </w:r>
    </w:p>
    <w:p>
      <w:pPr>
        <w:pStyle w:val="ListParagraph"/>
        <w:numPr>
          <w:ilvl w:val="0"/>
          <w:numId w:val="2"/>
        </w:numPr>
        <w:spacing w:after="80" w:line="280"/>
      </w:pPr>
      <w:r>
        <w:rPr>
          <w:sz w:val="21"/>
          <w:szCs w:val="21"/>
        </w:rPr>
        <w:t xml:space="preserve">Long vanilla option → positive Gamma and positive Vega</w:t>
      </w:r>
    </w:p>
    <w:p>
      <w:pPr>
        <w:pStyle w:val="ListParagraph"/>
        <w:numPr>
          <w:ilvl w:val="0"/>
          <w:numId w:val="2"/>
        </w:numPr>
        <w:spacing w:after="80" w:line="280"/>
      </w:pPr>
      <w:r>
        <w:rPr>
          <w:sz w:val="21"/>
          <w:szCs w:val="21"/>
        </w:rPr>
        <w:t xml:space="preserve">Short vanilla option → negative Gamma and negative Vega</w:t>
      </w:r>
    </w:p>
    <w:p>
      <w:pPr>
        <w:pStyle w:val="ListParagraph"/>
        <w:numPr>
          <w:ilvl w:val="0"/>
          <w:numId w:val="2"/>
        </w:numPr>
        <w:spacing w:after="80" w:line="280"/>
      </w:pPr>
      <w:r>
        <w:rPr>
          <w:sz w:val="21"/>
          <w:szCs w:val="21"/>
        </w:rPr>
        <w:t xml:space="preserve">Delta moves toward 1 (call) or −1 (put) as the option goes deep ITM, and toward 0 deep OTM</w:t>
      </w:r>
    </w:p>
    <w:p>
      <w:pPr>
        <w:pStyle w:val="ListParagraph"/>
        <w:numPr>
          <w:ilvl w:val="0"/>
          <w:numId w:val="2"/>
        </w:numPr>
        <w:spacing w:after="80" w:line="280"/>
      </w:pPr>
      <w:r>
        <w:rPr>
          <w:sz w:val="21"/>
          <w:szCs w:val="21"/>
        </w:rPr>
        <w:t xml:space="preserve">The Black–Scholes PDE itself is a Greek identity: Theta + r·S·Delta + 0.5·sigma^2·S^2·Gamma = r·V</w:t>
      </w:r>
    </w:p>
    <w:p>
      <w:pPr>
        <w:pBdr>
          <w:left w:val="single" w:color="B08D57" w:sz="12" w:space="8"/>
        </w:pBdr>
        <w:spacing w:after="160" w:before="80"/>
        <w:ind w:left="288"/>
      </w:pPr>
      <w:r>
        <w:rPr>
          <w:b/>
          <w:bCs/>
          <w:i/>
          <w:iCs/>
          <w:color w:val="4A4A4A"/>
          <w:sz w:val="20"/>
          <w:szCs w:val="20"/>
        </w:rPr>
        <w:t xml:space="preserve">Note: </w:t>
      </w:r>
      <w:r>
        <w:rPr>
          <w:i/>
          <w:iCs/>
          <w:color w:val="4A4A4A"/>
          <w:sz w:val="20"/>
          <w:szCs w:val="20"/>
        </w:rPr>
        <w:t xml:space="preserve">Be able to sketch each Greek as a function of the stock price and explain the shape from intuition, not just from the formula — this is a standard interview whiteboard exercise.</w:t>
      </w:r>
    </w:p>
    <w:p>
      <w:pPr>
        <w:pStyle w:val="Heading1"/>
        <w:spacing w:after="200" w:before="400"/>
      </w:pPr>
      <w:r>
        <w:rPr>
          <w:b/>
          <w:bCs/>
          <w:color w:val="1B2A4A"/>
          <w:sz w:val="30"/>
          <w:szCs w:val="30"/>
        </w:rPr>
        <w:t xml:space="preserve">Chapter 15 — Numerical Greeks</w:t>
      </w:r>
    </w:p>
    <w:p>
      <w:pPr>
        <w:spacing w:after="160" w:line="300"/>
      </w:pPr>
      <w:r>
        <w:rPr>
          <w:color w:val="000000"/>
          <w:sz w:val="21"/>
          <w:szCs w:val="21"/>
        </w:rPr>
        <w:t xml:space="preserve">Your engine should compute Greeks two independent ways, and cross-check them — an excellent, cheap validation layer.</w:t>
      </w:r>
    </w:p>
    <w:p>
      <w:pPr>
        <w:pStyle w:val="Heading2"/>
        <w:spacing w:after="120" w:before="240"/>
      </w:pPr>
      <w:r>
        <w:rPr>
          <w:b/>
          <w:bCs/>
          <w:color w:val="1B2A4A"/>
          <w:sz w:val="24"/>
          <w:szCs w:val="24"/>
        </w:rPr>
        <w:t xml:space="preserve">1. Analytical</w:t>
      </w:r>
    </w:p>
    <w:p>
      <w:pPr>
        <w:spacing w:after="160" w:line="300"/>
      </w:pPr>
      <w:r>
        <w:rPr>
          <w:color w:val="000000"/>
          <w:sz w:val="21"/>
          <w:szCs w:val="21"/>
        </w:rPr>
        <w:t xml:space="preserve">Using the closed-form Black–Scholes Greek formulas directly.</w:t>
      </w:r>
    </w:p>
    <w:p>
      <w:pPr>
        <w:pStyle w:val="Heading2"/>
        <w:spacing w:after="120" w:before="240"/>
      </w:pPr>
      <w:r>
        <w:rPr>
          <w:b/>
          <w:bCs/>
          <w:color w:val="1B2A4A"/>
          <w:sz w:val="24"/>
          <w:szCs w:val="24"/>
        </w:rPr>
        <w:t xml:space="preserve">2. Finite differences</w:t>
      </w:r>
    </w:p>
    <w:p>
      <w:pPr>
        <w:spacing w:after="160" w:line="300"/>
      </w:pPr>
      <w:r>
        <w:rPr>
          <w:color w:val="000000"/>
          <w:sz w:val="21"/>
          <w:szCs w:val="21"/>
        </w:rPr>
        <w:t xml:space="preserve">E.g. Gamma via a central second difference in the spot price:</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Gamma ≈ [ V(S+h) − 2·V(S) + V(S−h) ] / h^2</w:t>
            </w:r>
          </w:p>
        </w:tc>
      </w:tr>
    </w:tbl>
    <w:p>
      <w:pPr>
        <w:spacing w:after="160" w:line="300"/>
      </w:pPr>
      <w:r>
        <w:rPr>
          <w:color w:val="000000"/>
          <w:sz w:val="21"/>
          <w:szCs w:val="21"/>
        </w:rPr>
        <w:t xml:space="preserve">Then validate: |Gamma_analytical − Gamma_finite_difference| should be tiny for a reasonable step size h. This kind of cross-check is exactly the mindset a Model Risk reviewer applies to any pricing library.</w:t>
      </w:r>
    </w:p>
    <w:p>
      <w:pPr>
        <w:pStyle w:val="Heading1"/>
        <w:spacing w:after="200" w:before="400"/>
      </w:pPr>
      <w:r>
        <w:rPr>
          <w:b/>
          <w:bCs/>
          <w:color w:val="1B2A4A"/>
          <w:sz w:val="30"/>
          <w:szCs w:val="30"/>
        </w:rPr>
        <w:t xml:space="preserve">Chapter 16–19 — Monte Carlo: Pricing, Theory, Confidence Intervals, Variance Reduction</w:t>
      </w:r>
    </w:p>
    <w:p>
      <w:pPr>
        <w:pStyle w:val="Heading2"/>
        <w:spacing w:after="120" w:before="240"/>
      </w:pPr>
      <w:r>
        <w:rPr>
          <w:b/>
          <w:bCs/>
          <w:color w:val="1B2A4A"/>
          <w:sz w:val="24"/>
          <w:szCs w:val="24"/>
        </w:rPr>
        <w:t xml:space="preserve">16. Monte Carlo pricing — the principle</w:t>
      </w:r>
    </w:p>
    <w:p>
      <w:pPr>
        <w:spacing w:after="160" w:line="300"/>
      </w:pPr>
      <w:r>
        <w:rPr>
          <w:color w:val="000000"/>
          <w:sz w:val="21"/>
          <w:szCs w:val="21"/>
        </w:rPr>
        <w:t xml:space="preserve">Simulate many terminal stock prices under the risk-neutral GBM dynamics:</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S_T = S · exp( (r − q − 0.5·sigma^2)·T + sigma·sqrt(T)·Z ),  Z ~ Normal(0,1)</w:t>
            </w:r>
          </w:p>
        </w:tc>
      </w:tr>
    </w:tbl>
    <w:p>
      <w:pPr>
        <w:spacing w:after="160" w:line="300"/>
      </w:pPr>
      <w:r>
        <w:rPr>
          <w:color w:val="000000"/>
          <w:sz w:val="21"/>
          <w:szCs w:val="21"/>
        </w:rPr>
        <w:t xml:space="preserve">Average the discounted payoff across simulated paths to estimate the option price.</w:t>
      </w:r>
    </w:p>
    <w:p>
      <w:pPr>
        <w:pStyle w:val="Heading2"/>
        <w:spacing w:after="120" w:before="240"/>
      </w:pPr>
      <w:r>
        <w:rPr>
          <w:b/>
          <w:bCs/>
          <w:color w:val="1B2A4A"/>
          <w:sz w:val="24"/>
          <w:szCs w:val="24"/>
        </w:rPr>
        <w:t xml:space="preserve">17. Monte Carlo theory</w:t>
      </w:r>
    </w:p>
    <w:p>
      <w:pPr>
        <w:spacing w:after="160" w:line="300"/>
      </w:pPr>
      <w:r>
        <w:rPr>
          <w:color w:val="000000"/>
          <w:sz w:val="21"/>
          <w:szCs w:val="21"/>
        </w:rPr>
        <w:t xml:space="preserve">By the Law of Large Numbers, the sample average of discounted payoffs converges to the true price as the number of simulations N grows. The standard error of that estimate shrinks like:</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Standard error ≈ sample_std_dev / sqrt(N)</w:t>
            </w:r>
          </w:p>
        </w:tc>
      </w:tr>
    </w:tbl>
    <w:p>
      <w:pPr>
        <w:spacing w:after="160" w:line="300"/>
      </w:pPr>
      <w:r>
        <w:rPr>
          <w:color w:val="000000"/>
          <w:sz w:val="21"/>
          <w:szCs w:val="21"/>
        </w:rPr>
        <w:t xml:space="preserve">This '1/sqrt(N)' convergence rate is the single most important fact about Monte Carlo methods — it explains why quadrupling simulations only halves the error.</w:t>
      </w:r>
    </w:p>
    <w:p>
      <w:pPr>
        <w:pStyle w:val="Heading2"/>
        <w:spacing w:after="120" w:before="240"/>
      </w:pPr>
      <w:r>
        <w:rPr>
          <w:b/>
          <w:bCs/>
          <w:color w:val="1B2A4A"/>
          <w:sz w:val="24"/>
          <w:szCs w:val="24"/>
        </w:rPr>
        <w:t xml:space="preserve">18. Confidence intervals</w:t>
      </w:r>
    </w:p>
    <w:p>
      <w:pPr>
        <w:spacing w:after="160" w:line="300"/>
      </w:pPr>
      <w:r>
        <w:rPr>
          <w:color w:val="000000"/>
          <w:sz w:val="21"/>
          <w:szCs w:val="21"/>
        </w:rPr>
        <w:t xml:space="preserve">Your engine should report an approximate 95% confidence interval:</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estimate ± 1.96 · standard_error</w:t>
            </w:r>
          </w:p>
        </w:tc>
      </w:tr>
    </w:tbl>
    <w:p>
      <w:pPr>
        <w:spacing w:after="160" w:line="300"/>
      </w:pPr>
      <w:r>
        <w:rPr>
          <w:color w:val="000000"/>
          <w:sz w:val="21"/>
          <w:szCs w:val="21"/>
        </w:rPr>
        <w:t xml:space="preserve">and empirically demonstrate that increasing N narrows this interval, consistent with the 1/sqrt(N) rate.</w:t>
      </w:r>
    </w:p>
    <w:p>
      <w:pPr>
        <w:pStyle w:val="Heading2"/>
        <w:spacing w:after="120" w:before="240"/>
      </w:pPr>
      <w:r>
        <w:rPr>
          <w:b/>
          <w:bCs/>
          <w:color w:val="1B2A4A"/>
          <w:sz w:val="24"/>
          <w:szCs w:val="24"/>
        </w:rPr>
        <w:t xml:space="preserve">19. Variance reduction — antithetic variates</w:t>
      </w:r>
    </w:p>
    <w:p>
      <w:pPr>
        <w:spacing w:after="160" w:line="300"/>
      </w:pPr>
      <w:r>
        <w:rPr>
          <w:color w:val="000000"/>
          <w:sz w:val="21"/>
          <w:szCs w:val="21"/>
        </w:rPr>
        <w:t xml:space="preserve">For each draw Z, also simulate using −Z, and average the resulting pair of payoffs. Because the two paths are negatively correlated, averaging them reduces the variance of the overall estimator for a given computational budget.</w:t>
      </w:r>
    </w:p>
    <w:p>
      <w:pPr>
        <w:pStyle w:val="Heading1"/>
        <w:spacing w:after="200" w:before="400"/>
      </w:pPr>
      <w:r>
        <w:rPr>
          <w:b/>
          <w:bCs/>
          <w:color w:val="1B2A4A"/>
          <w:sz w:val="30"/>
          <w:szCs w:val="30"/>
        </w:rPr>
        <w:t xml:space="preserve">Chapter 20–22 — Implied Volatility, Root Finding &amp; the Volatility Smile</w:t>
      </w:r>
    </w:p>
    <w:p>
      <w:pPr>
        <w:pStyle w:val="Heading2"/>
        <w:spacing w:after="120" w:before="240"/>
      </w:pPr>
      <w:r>
        <w:rPr>
          <w:b/>
          <w:bCs/>
          <w:color w:val="1B2A4A"/>
          <w:sz w:val="24"/>
          <w:szCs w:val="24"/>
        </w:rPr>
        <w:t xml:space="preserve">20. Implied volatility</w:t>
      </w:r>
    </w:p>
    <w:p>
      <w:pPr>
        <w:spacing w:after="160" w:line="300"/>
      </w:pPr>
      <w:r>
        <w:rPr>
          <w:color w:val="000000"/>
          <w:sz w:val="21"/>
          <w:szCs w:val="21"/>
        </w:rPr>
        <w:t xml:space="preserve">Given a market price, invert the Black–Scholes formula to solve for the sigma that reproduces it. There is no closed-form solution, so this must be done numerically.</w:t>
      </w:r>
    </w:p>
    <w:p>
      <w:pPr>
        <w:pStyle w:val="Heading2"/>
        <w:spacing w:after="120" w:before="240"/>
      </w:pPr>
      <w:r>
        <w:rPr>
          <w:b/>
          <w:bCs/>
          <w:color w:val="1B2A4A"/>
          <w:sz w:val="24"/>
          <w:szCs w:val="24"/>
        </w:rPr>
        <w:t xml:space="preserve">21. Root finding</w:t>
      </w:r>
    </w:p>
    <w:p>
      <w:pPr>
        <w:spacing w:after="160" w:line="300"/>
      </w:pPr>
      <w:r>
        <w:rPr>
          <w:color w:val="000000"/>
          <w:sz w:val="21"/>
          <w:szCs w:val="21"/>
        </w:rPr>
        <w:t xml:space="preserve">Bisection: repeatedly halve a bracketing interval known to contain the root. Know bracketing, convergence, and stopping criteria.</w:t>
      </w:r>
    </w:p>
    <w:p>
      <w:pPr>
        <w:spacing w:after="160" w:line="300"/>
      </w:pPr>
      <w:r>
        <w:rPr>
          <w:color w:val="000000"/>
          <w:sz w:val="21"/>
          <w:szCs w:val="21"/>
        </w:rPr>
        <w:t xml:space="preserve">Newton-Raphson: uses the derivative (here, Vega) to jump toward the root faster:</w:t>
      </w:r>
    </w:p>
    <w:tbl>
      <w:tblPr>
        <w:tblW w:type="pct" w:w="100%"/>
        <w:tblBorders>
          <w:top w:val="single" w:color="B08D57" w:sz="4"/>
          <w:left w:val="single" w:color="B08D57" w:sz="4"/>
          <w:bottom w:val="single" w:color="B08D57" w:sz="4"/>
          <w:right w:val="single" w:color="B08D57" w:sz="4"/>
          <w:insideH w:val="none" w:color="FFFFFF" w:sz="0"/>
          <w:insideV w:val="none" w:color="FFFFFF" w:sz="0"/>
        </w:tblBorders>
      </w:tblPr>
      <w:tblGrid>
        <w:gridCol w:w="100"/>
      </w:tblGrid>
      <w:tr>
        <w:tc>
          <w:tcPr>
            <w:tcW w:type="pct" w:w="100%"/>
            <w:shd w:fill="F4F1EA" w:val="clear"/>
            <w:tcMar>
              <w:top w:type="dxa" w:w="120"/>
              <w:left w:type="dxa" w:w="180"/>
              <w:bottom w:type="dxa" w:w="120"/>
              <w:right w:type="dxa" w:w="180"/>
            </w:tcMar>
          </w:tcPr>
          <w:p>
            <w:pPr>
              <w:spacing w:after="40"/>
            </w:pPr>
            <w:r>
              <w:rPr>
                <w:rFonts w:ascii="Courier New" w:cs="Courier New" w:eastAsia="Courier New" w:hAnsi="Courier New"/>
                <w:color w:val="1B2A4A"/>
                <w:sz w:val="21"/>
                <w:szCs w:val="21"/>
              </w:rPr>
              <w:t xml:space="preserve">sigma_(n+1) = sigma_n − ( BS(sigma_n) − market_price ) / Vega(sigma_n)</w:t>
            </w:r>
          </w:p>
        </w:tc>
      </w:tr>
    </w:tbl>
    <w:p>
      <w:pPr>
        <w:spacing w:after="160" w:line="300"/>
      </w:pPr>
      <w:r>
        <w:rPr>
          <w:color w:val="000000"/>
          <w:sz w:val="21"/>
          <w:szCs w:val="21"/>
        </w:rPr>
        <w:t xml:space="preserve">This direct connection — Newton-Raphson for implied vol is literally 'use Vega as the derivative' — is excellent interview material. Also understand why Newton-Raphson can fail (e.g. Vega near zero for deep ITM/OTM options) and why bisection, though slower, is more robust in those cases.</w:t>
      </w:r>
    </w:p>
    <w:p>
      <w:pPr>
        <w:pStyle w:val="Heading2"/>
        <w:spacing w:after="120" w:before="240"/>
      </w:pPr>
      <w:r>
        <w:rPr>
          <w:b/>
          <w:bCs/>
          <w:color w:val="1B2A4A"/>
          <w:sz w:val="24"/>
          <w:szCs w:val="24"/>
        </w:rPr>
        <w:t xml:space="preserve">22. Volatility smile / skew</w:t>
      </w:r>
    </w:p>
    <w:p>
      <w:pPr>
        <w:spacing w:after="160" w:line="300"/>
      </w:pPr>
      <w:r>
        <w:rPr>
          <w:color w:val="000000"/>
          <w:sz w:val="21"/>
          <w:szCs w:val="21"/>
        </w:rPr>
        <w:t xml:space="preserve">Once implied volatility works across strikes, plot strike vs. implied volatility. You'll observe a smile or skew rather than a flat line — direct empirical evidence that the constant-volatility assumption behind Black–Scholes doesn't match real markets.</w:t>
      </w:r>
    </w:p>
    <w:p>
      <w:pPr>
        <w:spacing w:after="160" w:line="300"/>
      </w:pPr>
      <w:r>
        <w:rPr>
          <w:color w:val="000000"/>
          <w:sz w:val="21"/>
          <w:szCs w:val="21"/>
        </w:rPr>
        <w:t xml:space="preserve">This motivates local volatility, stochastic volatility models, and SABR. You don't need to implement these initially — just understand what problem they're solving and why.</w:t>
      </w:r>
    </w:p>
    <w:p>
      <w:pPr>
        <w:pStyle w:val="Heading1"/>
        <w:spacing w:after="200" w:before="400"/>
      </w:pPr>
      <w:r>
        <w:rPr>
          <w:b/>
          <w:bCs/>
          <w:color w:val="1B2A4A"/>
          <w:sz w:val="30"/>
          <w:szCs w:val="30"/>
        </w:rPr>
        <w:t xml:space="preserve">Chapter 23–25 — Hedging, Delta-Hedging Simulation &amp; Gamma / Hedge Error</w:t>
      </w:r>
    </w:p>
    <w:p>
      <w:pPr>
        <w:pStyle w:val="Heading2"/>
        <w:spacing w:after="120" w:before="240"/>
      </w:pPr>
      <w:r>
        <w:rPr>
          <w:b/>
          <w:bCs/>
          <w:color w:val="1B2A4A"/>
          <w:sz w:val="24"/>
          <w:szCs w:val="24"/>
        </w:rPr>
        <w:t xml:space="preserve">23. Hedging</w:t>
      </w:r>
    </w:p>
    <w:p>
      <w:pPr>
        <w:spacing w:after="160" w:line="300"/>
      </w:pPr>
      <w:r>
        <w:rPr>
          <w:color w:val="000000"/>
          <w:sz w:val="21"/>
          <w:szCs w:val="21"/>
        </w:rPr>
        <w:t xml:space="preserve">For a long option position, approximately hedge by holding −Delta units of the underlying (or +Delta if short the option), continuously rebalanced as Delta changes.</w:t>
      </w:r>
    </w:p>
    <w:p>
      <w:pPr>
        <w:spacing w:after="160" w:line="300"/>
      </w:pPr>
      <w:r>
        <w:rPr>
          <w:color w:val="000000"/>
          <w:sz w:val="21"/>
          <w:szCs w:val="21"/>
        </w:rPr>
        <w:t xml:space="preserve">Black–Scholes theoretically assumes continuous rebalancing; real markets rebalance discretely. That gap between theory and practice is where hedge error comes from — and it's the connective tissue between the pricing theory and real trading risk.</w:t>
      </w:r>
    </w:p>
    <w:p>
      <w:pPr>
        <w:pStyle w:val="Heading2"/>
        <w:spacing w:after="120" w:before="240"/>
      </w:pPr>
      <w:r>
        <w:rPr>
          <w:b/>
          <w:bCs/>
          <w:color w:val="1B2A4A"/>
          <w:sz w:val="24"/>
          <w:szCs w:val="24"/>
        </w:rPr>
        <w:t xml:space="preserve">24. Delta-hedging simulation</w:t>
      </w:r>
    </w:p>
    <w:p>
      <w:pPr>
        <w:spacing w:after="160" w:line="300"/>
      </w:pPr>
      <w:r>
        <w:rPr>
          <w:color w:val="000000"/>
          <w:sz w:val="21"/>
          <w:szCs w:val="21"/>
        </w:rPr>
        <w:t xml:space="preserve">This is one of the strongest additions you can make to the project. Simulate:</w:t>
      </w:r>
    </w:p>
    <w:p>
      <w:pPr>
        <w:pStyle w:val="ListParagraph"/>
        <w:numPr>
          <w:ilvl w:val="0"/>
          <w:numId w:val="2"/>
        </w:numPr>
        <w:spacing w:after="80" w:line="280"/>
      </w:pPr>
      <w:r>
        <w:rPr>
          <w:sz w:val="21"/>
          <w:szCs w:val="21"/>
        </w:rPr>
        <w:t xml:space="preserve">Buy the option</w:t>
      </w:r>
    </w:p>
    <w:p>
      <w:pPr>
        <w:pStyle w:val="ListParagraph"/>
        <w:numPr>
          <w:ilvl w:val="0"/>
          <w:numId w:val="2"/>
        </w:numPr>
        <w:spacing w:after="80" w:line="280"/>
      </w:pPr>
      <w:r>
        <w:rPr>
          <w:sz w:val="21"/>
          <w:szCs w:val="21"/>
        </w:rPr>
        <w:t xml:space="preserve">Calculate Delta</w:t>
      </w:r>
    </w:p>
    <w:p>
      <w:pPr>
        <w:pStyle w:val="ListParagraph"/>
        <w:numPr>
          <w:ilvl w:val="0"/>
          <w:numId w:val="2"/>
        </w:numPr>
        <w:spacing w:after="80" w:line="280"/>
      </w:pPr>
      <w:r>
        <w:rPr>
          <w:sz w:val="21"/>
          <w:szCs w:val="21"/>
        </w:rPr>
        <w:t xml:space="preserve">Buy/sell the underlying to hedge</w:t>
      </w:r>
    </w:p>
    <w:p>
      <w:pPr>
        <w:pStyle w:val="ListParagraph"/>
        <w:numPr>
          <w:ilvl w:val="0"/>
          <w:numId w:val="2"/>
        </w:numPr>
        <w:spacing w:after="80" w:line="280"/>
      </w:pPr>
      <w:r>
        <w:rPr>
          <w:sz w:val="21"/>
          <w:szCs w:val="21"/>
        </w:rPr>
        <w:t xml:space="preserve">Step forward in time, recalculate Delta, rebalance</w:t>
      </w:r>
    </w:p>
    <w:p>
      <w:pPr>
        <w:pStyle w:val="ListParagraph"/>
        <w:numPr>
          <w:ilvl w:val="0"/>
          <w:numId w:val="2"/>
        </w:numPr>
        <w:spacing w:after="80" w:line="280"/>
      </w:pPr>
      <w:r>
        <w:rPr>
          <w:sz w:val="21"/>
          <w:szCs w:val="21"/>
        </w:rPr>
        <w:t xml:space="preserve">Repeat to maturity</w:t>
      </w:r>
    </w:p>
    <w:p>
      <w:pPr>
        <w:pStyle w:val="ListParagraph"/>
        <w:numPr>
          <w:ilvl w:val="0"/>
          <w:numId w:val="2"/>
        </w:numPr>
        <w:spacing w:after="80" w:line="280"/>
      </w:pPr>
      <w:r>
        <w:rPr>
          <w:sz w:val="21"/>
          <w:szCs w:val="21"/>
        </w:rPr>
        <w:t xml:space="preserve">Calculate the final hedge P&amp;L</w:t>
      </w:r>
    </w:p>
    <w:p>
      <w:pPr>
        <w:spacing w:after="160" w:line="300"/>
      </w:pPr>
      <w:r>
        <w:rPr>
          <w:color w:val="000000"/>
          <w:sz w:val="21"/>
          <w:szCs w:val="21"/>
        </w:rPr>
        <w:t xml:space="preserve">Then investigate how the P&amp;L distribution changes with:</w:t>
      </w:r>
    </w:p>
    <w:p>
      <w:pPr>
        <w:pStyle w:val="ListParagraph"/>
        <w:numPr>
          <w:ilvl w:val="0"/>
          <w:numId w:val="2"/>
        </w:numPr>
        <w:spacing w:after="80" w:line="280"/>
      </w:pPr>
      <w:r>
        <w:rPr>
          <w:sz w:val="21"/>
          <w:szCs w:val="21"/>
        </w:rPr>
        <w:t xml:space="preserve">Hedge frequency — daily vs. weekly vs. monthly rebalancing</w:t>
      </w:r>
    </w:p>
    <w:p>
      <w:pPr>
        <w:pStyle w:val="ListParagraph"/>
        <w:numPr>
          <w:ilvl w:val="0"/>
          <w:numId w:val="2"/>
        </w:numPr>
        <w:spacing w:after="80" w:line="280"/>
      </w:pPr>
      <w:r>
        <w:rPr>
          <w:sz w:val="21"/>
          <w:szCs w:val="21"/>
        </w:rPr>
        <w:t xml:space="preserve">Realized volatility — low / medium / high</w:t>
      </w:r>
    </w:p>
    <w:p>
      <w:pPr>
        <w:pStyle w:val="ListParagraph"/>
        <w:numPr>
          <w:ilvl w:val="0"/>
          <w:numId w:val="2"/>
        </w:numPr>
        <w:spacing w:after="80" w:line="280"/>
      </w:pPr>
      <w:r>
        <w:rPr>
          <w:sz w:val="21"/>
          <w:szCs w:val="21"/>
        </w:rPr>
        <w:t xml:space="preserve">Moneyness at inception — ITM / ATM / OTM</w:t>
      </w:r>
    </w:p>
    <w:p>
      <w:pPr>
        <w:spacing w:after="160" w:line="300"/>
      </w:pPr>
      <w:r>
        <w:rPr>
          <w:color w:val="000000"/>
          <w:sz w:val="21"/>
          <w:szCs w:val="21"/>
        </w:rPr>
        <w:t xml:space="preserve">Plot the distribution of hedge P&amp;L across many simulated paths for each scenario.</w:t>
      </w:r>
    </w:p>
    <w:p>
      <w:pPr>
        <w:pStyle w:val="Heading2"/>
        <w:spacing w:after="120" w:before="240"/>
      </w:pPr>
      <w:r>
        <w:rPr>
          <w:b/>
          <w:bCs/>
          <w:color w:val="1B2A4A"/>
          <w:sz w:val="24"/>
          <w:szCs w:val="24"/>
        </w:rPr>
        <w:t xml:space="preserve">25. Gamma and hedge error</w:t>
      </w:r>
    </w:p>
    <w:p>
      <w:pPr>
        <w:spacing w:after="160" w:line="300"/>
      </w:pPr>
      <w:r>
        <w:rPr>
          <w:color w:val="000000"/>
          <w:sz w:val="21"/>
          <w:szCs w:val="21"/>
        </w:rPr>
        <w:t xml:space="preserve">Gamma is precisely why delta hedging isn't perfect: it measures how fast Delta itself moves, so a high-Gamma position (typically near-the-money, near expiry) needs much more frequent rebalancing to stay hedged. Being able to connect 'high Gamma → hedge error grows' in one sentence is a very common interview discussion point.</w:t>
      </w:r>
    </w:p>
    <w:p>
      <w:pPr>
        <w:pStyle w:val="Heading1"/>
        <w:spacing w:after="200" w:before="400"/>
      </w:pPr>
      <w:r>
        <w:rPr>
          <w:b/>
          <w:bCs/>
          <w:color w:val="1B2A4A"/>
          <w:sz w:val="30"/>
          <w:szCs w:val="30"/>
        </w:rPr>
        <w:t xml:space="preserve">Chapter 26–27 — Calibration &amp; Model Validation</w:t>
      </w:r>
    </w:p>
    <w:p>
      <w:pPr>
        <w:pStyle w:val="Heading2"/>
        <w:spacing w:after="120" w:before="240"/>
      </w:pPr>
      <w:r>
        <w:rPr>
          <w:b/>
          <w:bCs/>
          <w:color w:val="1B2A4A"/>
          <w:sz w:val="24"/>
          <w:szCs w:val="24"/>
        </w:rPr>
        <w:t xml:space="preserve">26. Calibration</w:t>
      </w:r>
    </w:p>
    <w:p>
      <w:pPr>
        <w:spacing w:after="160" w:line="300"/>
      </w:pPr>
      <w:r>
        <w:rPr>
          <w:color w:val="000000"/>
          <w:sz w:val="21"/>
          <w:szCs w:val="21"/>
        </w:rPr>
        <w:t xml:space="preserve">For your first version, calibration means finding model parameters that make model prices match observed market prices. For vanilla Black–Scholes this usually just means solving for implied volatility separately, per option — you're not fitting a single global sigma. Later extensions include building a full volatility surface with interpolation, smoothing, and parametric volatility models.</w:t>
      </w:r>
    </w:p>
    <w:p>
      <w:pPr>
        <w:pStyle w:val="Heading2"/>
        <w:spacing w:after="120" w:before="240"/>
      </w:pPr>
      <w:r>
        <w:rPr>
          <w:b/>
          <w:bCs/>
          <w:color w:val="1B2A4A"/>
          <w:sz w:val="24"/>
          <w:szCs w:val="24"/>
        </w:rPr>
        <w:t xml:space="preserve">27. Model validation</w:t>
      </w:r>
    </w:p>
    <w:p>
      <w:pPr>
        <w:spacing w:after="160" w:line="300"/>
      </w:pPr>
      <w:r>
        <w:rPr>
          <w:color w:val="000000"/>
          <w:sz w:val="21"/>
          <w:szCs w:val="21"/>
        </w:rPr>
        <w:t xml:space="preserve">Build explicit validation checks into the engine itself:</w:t>
      </w:r>
    </w:p>
    <w:p>
      <w:pPr>
        <w:pStyle w:val="ListParagraph"/>
        <w:numPr>
          <w:ilvl w:val="0"/>
          <w:numId w:val="2"/>
        </w:numPr>
        <w:spacing w:after="80" w:line="280"/>
      </w:pPr>
      <w:r>
        <w:rPr>
          <w:sz w:val="21"/>
          <w:szCs w:val="21"/>
        </w:rPr>
        <w:t xml:space="preserve">Mathematical identities — put-call parity must hold exactly (to numerical precision)</w:t>
      </w:r>
    </w:p>
    <w:p>
      <w:pPr>
        <w:pStyle w:val="ListParagraph"/>
        <w:numPr>
          <w:ilvl w:val="0"/>
          <w:numId w:val="2"/>
        </w:numPr>
        <w:spacing w:after="80" w:line="280"/>
      </w:pPr>
      <w:r>
        <w:rPr>
          <w:sz w:val="21"/>
          <w:szCs w:val="21"/>
        </w:rPr>
        <w:t xml:space="preserve">Limiting cases — as sigma approaches 0, call value should approach the intrinsic (discounted forward) value; as S becomes very large relative to K, call value approaches S·e^(−qT) − K·e^(−rT)</w:t>
      </w:r>
    </w:p>
    <w:p>
      <w:pPr>
        <w:pStyle w:val="ListParagraph"/>
        <w:numPr>
          <w:ilvl w:val="0"/>
          <w:numId w:val="2"/>
        </w:numPr>
        <w:spacing w:after="80" w:line="280"/>
      </w:pPr>
      <w:r>
        <w:rPr>
          <w:sz w:val="21"/>
          <w:szCs w:val="21"/>
        </w:rPr>
        <w:t xml:space="preserve">Bounds — a European call must satisfy max(S·e^(−qT) − K·e^(−rT), 0) ≤ C ≤ S·e^(−qT); an analogous bound holds for puts</w:t>
      </w:r>
    </w:p>
    <w:p>
      <w:pPr>
        <w:pStyle w:val="ListParagraph"/>
        <w:numPr>
          <w:ilvl w:val="0"/>
          <w:numId w:val="2"/>
        </w:numPr>
        <w:spacing w:after="80" w:line="280"/>
      </w:pPr>
      <w:r>
        <w:rPr>
          <w:sz w:val="21"/>
          <w:szCs w:val="21"/>
        </w:rPr>
        <w:t xml:space="preserve">Cross-model validation — binomial price should converge to Black–Scholes as the number of tree steps increases</w:t>
      </w:r>
    </w:p>
    <w:p>
      <w:pPr>
        <w:pStyle w:val="ListParagraph"/>
        <w:numPr>
          <w:ilvl w:val="0"/>
          <w:numId w:val="2"/>
        </w:numPr>
        <w:spacing w:after="80" w:line="280"/>
      </w:pPr>
      <w:r>
        <w:rPr>
          <w:sz w:val="21"/>
          <w:szCs w:val="21"/>
        </w:rPr>
        <w:t xml:space="preserve">Monte Carlo validation — Monte Carlo price should agree with Black–Scholes within the reported confidence interval</w:t>
      </w:r>
    </w:p>
    <w:p>
      <w:pPr>
        <w:pStyle w:val="Heading1"/>
        <w:spacing w:after="200" w:before="400"/>
      </w:pPr>
      <w:r>
        <w:rPr>
          <w:b/>
          <w:bCs/>
          <w:color w:val="1B2A4A"/>
          <w:sz w:val="30"/>
          <w:szCs w:val="30"/>
        </w:rPr>
        <w:t xml:space="preserve">Chapter 28–29 — Convergence Testing &amp; Sensitivity Analysis</w:t>
      </w:r>
    </w:p>
    <w:p>
      <w:pPr>
        <w:pStyle w:val="Heading2"/>
        <w:spacing w:after="120" w:before="240"/>
      </w:pPr>
      <w:r>
        <w:rPr>
          <w:b/>
          <w:bCs/>
          <w:color w:val="1B2A4A"/>
          <w:sz w:val="24"/>
          <w:szCs w:val="24"/>
        </w:rPr>
        <w:t xml:space="preserve">28. Convergence testing</w:t>
      </w:r>
    </w:p>
    <w:p>
      <w:pPr>
        <w:spacing w:after="160" w:line="300"/>
      </w:pPr>
      <w:r>
        <w:rPr>
          <w:color w:val="000000"/>
          <w:sz w:val="21"/>
          <w:szCs w:val="21"/>
        </w:rPr>
        <w:t xml:space="preserve">Explicitly demonstrate binomial convergence (price vs. number of steps) and Monte Carlo convergence (price and confidence-interval width vs. number of simulations). This gives you a quantitative, chartable way to discuss numerical accuracy — much stronger than simply asserting the model 'works.'</w:t>
      </w:r>
    </w:p>
    <w:p>
      <w:pPr>
        <w:pStyle w:val="Heading2"/>
        <w:spacing w:after="120" w:before="240"/>
      </w:pPr>
      <w:r>
        <w:rPr>
          <w:b/>
          <w:bCs/>
          <w:color w:val="1B2A4A"/>
          <w:sz w:val="24"/>
          <w:szCs w:val="24"/>
        </w:rPr>
        <w:t xml:space="preserve">29. Sensitivity analysis</w:t>
      </w:r>
    </w:p>
    <w:p>
      <w:pPr>
        <w:spacing w:after="160" w:line="300"/>
      </w:pPr>
      <w:r>
        <w:rPr>
          <w:color w:val="000000"/>
          <w:sz w:val="21"/>
          <w:szCs w:val="21"/>
        </w:rPr>
        <w:t xml:space="preserve">Systematically study how option value moves with each input:</w:t>
      </w:r>
    </w:p>
    <w:p>
      <w:pPr>
        <w:pStyle w:val="ListParagraph"/>
        <w:numPr>
          <w:ilvl w:val="0"/>
          <w:numId w:val="2"/>
        </w:numPr>
        <w:spacing w:after="80" w:line="280"/>
      </w:pPr>
      <w:r>
        <w:rPr>
          <w:sz w:val="21"/>
          <w:szCs w:val="21"/>
        </w:rPr>
        <w:t xml:space="preserve">S — price sensitivity (Delta / Gamma)</w:t>
      </w:r>
    </w:p>
    <w:p>
      <w:pPr>
        <w:pStyle w:val="ListParagraph"/>
        <w:numPr>
          <w:ilvl w:val="0"/>
          <w:numId w:val="2"/>
        </w:numPr>
        <w:spacing w:after="80" w:line="280"/>
      </w:pPr>
      <w:r>
        <w:rPr>
          <w:sz w:val="21"/>
          <w:szCs w:val="21"/>
        </w:rPr>
        <w:t xml:space="preserve">K — moneyness effects</w:t>
      </w:r>
    </w:p>
    <w:p>
      <w:pPr>
        <w:pStyle w:val="ListParagraph"/>
        <w:numPr>
          <w:ilvl w:val="0"/>
          <w:numId w:val="2"/>
        </w:numPr>
        <w:spacing w:after="80" w:line="280"/>
      </w:pPr>
      <w:r>
        <w:rPr>
          <w:sz w:val="21"/>
          <w:szCs w:val="21"/>
        </w:rPr>
        <w:t xml:space="preserve">T — time value (Theta)</w:t>
      </w:r>
    </w:p>
    <w:p>
      <w:pPr>
        <w:pStyle w:val="ListParagraph"/>
        <w:numPr>
          <w:ilvl w:val="0"/>
          <w:numId w:val="2"/>
        </w:numPr>
        <w:spacing w:after="80" w:line="280"/>
      </w:pPr>
      <w:r>
        <w:rPr>
          <w:sz w:val="21"/>
          <w:szCs w:val="21"/>
        </w:rPr>
        <w:t xml:space="preserve">sigma — volatility sensitivity (Vega)</w:t>
      </w:r>
    </w:p>
    <w:p>
      <w:pPr>
        <w:pStyle w:val="ListParagraph"/>
        <w:numPr>
          <w:ilvl w:val="0"/>
          <w:numId w:val="2"/>
        </w:numPr>
        <w:spacing w:after="80" w:line="280"/>
      </w:pPr>
      <w:r>
        <w:rPr>
          <w:sz w:val="21"/>
          <w:szCs w:val="21"/>
        </w:rPr>
        <w:t xml:space="preserve">r — rate sensitivity (Rho)</w:t>
      </w:r>
    </w:p>
    <w:p>
      <w:pPr>
        <w:pStyle w:val="ListParagraph"/>
        <w:numPr>
          <w:ilvl w:val="0"/>
          <w:numId w:val="2"/>
        </w:numPr>
        <w:spacing w:after="80" w:line="280"/>
      </w:pPr>
      <w:r>
        <w:rPr>
          <w:sz w:val="21"/>
          <w:szCs w:val="21"/>
        </w:rPr>
        <w:t xml:space="preserve">q — dividend sensitivity</w:t>
      </w:r>
    </w:p>
    <w:p>
      <w:pPr>
        <w:spacing w:after="160" w:line="300"/>
      </w:pPr>
      <w:r>
        <w:rPr>
          <w:color w:val="000000"/>
          <w:sz w:val="21"/>
          <w:szCs w:val="21"/>
        </w:rPr>
        <w:t xml:space="preserve">Produce value-vs-input plots and Greek-surface plots (e.g. Delta as a function of both S and T).</w:t>
      </w:r>
    </w:p>
    <w:p>
      <w:r>
        <w:br w:type="page"/>
      </w:r>
    </w:p>
    <w:p>
      <w:pPr>
        <w:pStyle w:val="Heading1"/>
        <w:spacing w:after="200" w:before="400"/>
      </w:pPr>
      <w:r>
        <w:rPr>
          <w:b/>
          <w:bCs/>
          <w:color w:val="1B2A4A"/>
          <w:sz w:val="30"/>
          <w:szCs w:val="30"/>
        </w:rPr>
        <w:t xml:space="preserve">Chapter 30 — The Complete Theory Hierarchy</w:t>
      </w:r>
    </w:p>
    <w:p>
      <w:pPr>
        <w:spacing w:after="160" w:line="300"/>
      </w:pPr>
      <w:r>
        <w:rPr>
          <w:color w:val="000000"/>
          <w:sz w:val="21"/>
          <w:szCs w:val="21"/>
        </w:rPr>
        <w:t xml:space="preserve">Study the project in this order — each layer depends on the one above it:</w:t>
      </w:r>
    </w:p>
    <w:tbl>
      <w:tblPr>
        <w:tblW w:type="pct" w:w="6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Probability</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Statistics</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Calculus</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No-Arbitrage</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Forward Pricing</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Options</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Put-Call Parity</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Binomial Model</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Risk-Neutral Pricing</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Brownian Motion</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Geometric Brownian Motion</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Itô's Lemma</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Black-Scholes PDE</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Black-Scholes Formula</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Greeks</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Monte Carlo</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Implied Volatility</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Numerical Methods</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Delta Hedging</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Hedge P&amp;L</w:t>
            </w:r>
          </w:p>
        </w:tc>
      </w:tr>
      <w:tr>
        <w:tc>
          <w:tcPr>
            <w:tcW w:type="pct" w:w="100%"/>
            <w:tcBorders>
              <w:top w:val="single" w:color="D8D2C0" w:sz="2"/>
              <w:left w:val="single" w:color="D8D2C0" w:sz="2"/>
              <w:bottom w:val="single" w:color="D8D2C0" w:sz="2"/>
              <w:right w:val="single" w:color="D8D2C0" w:sz="2"/>
            </w:tcBorders>
            <w:shd w:fill="FFFFFF" w:val="clear"/>
            <w:tcMar>
              <w:top w:type="dxa" w:w="80"/>
              <w:left w:type="dxa" w:w="120"/>
              <w:bottom w:type="dxa" w:w="80"/>
              <w:right w:type="dxa" w:w="120"/>
            </w:tcMar>
          </w:tcPr>
          <w:p>
            <w:pPr>
              <w:jc w:val="center"/>
            </w:pPr>
            <w:r>
              <w:rPr>
                <w:b/>
                <w:bCs/>
                <w:color w:val="1B2A4A"/>
                <w:sz w:val="21"/>
                <w:szCs w:val="21"/>
              </w:rPr>
              <w:t xml:space="preserve">Calibration</w:t>
            </w:r>
          </w:p>
        </w:tc>
      </w:tr>
      <w:tr>
        <w:tc>
          <w:tcPr>
            <w:tcW w:type="pct" w:w="100%"/>
            <w:tcBorders>
              <w:top w:val="single" w:color="D8D2C0" w:sz="2"/>
              <w:left w:val="single" w:color="D8D2C0" w:sz="2"/>
              <w:bottom w:val="single" w:color="D8D2C0" w:sz="2"/>
              <w:right w:val="single" w:color="D8D2C0" w:sz="2"/>
            </w:tcBorders>
            <w:shd w:fill="F7F5EF" w:val="clear"/>
            <w:tcMar>
              <w:top w:type="dxa" w:w="80"/>
              <w:left w:type="dxa" w:w="120"/>
              <w:bottom w:type="dxa" w:w="80"/>
              <w:right w:type="dxa" w:w="120"/>
            </w:tcMar>
          </w:tcPr>
          <w:p>
            <w:pPr>
              <w:jc w:val="center"/>
            </w:pPr>
            <w:r>
              <w:rPr>
                <w:b/>
                <w:bCs/>
                <w:color w:val="1B2A4A"/>
                <w:sz w:val="21"/>
                <w:szCs w:val="21"/>
              </w:rPr>
              <w:t xml:space="preserve">Model Validation</w:t>
            </w:r>
          </w:p>
        </w:tc>
      </w:tr>
    </w:tbl>
    <w:p>
      <w:r>
        <w:br w:type="page"/>
      </w:r>
    </w:p>
    <w:p>
      <w:pPr>
        <w:pStyle w:val="Heading1"/>
        <w:spacing w:after="200" w:before="400"/>
      </w:pPr>
      <w:r>
        <w:rPr>
          <w:b/>
          <w:bCs/>
          <w:color w:val="1B2A4A"/>
          <w:sz w:val="30"/>
          <w:szCs w:val="30"/>
        </w:rPr>
        <w:t xml:space="preserve">Appendix A — Project Readiness Levels</w:t>
      </w:r>
    </w:p>
    <w:p>
      <w:pPr>
        <w:spacing w:after="160" w:line="300"/>
      </w:pPr>
      <w:r>
        <w:rPr>
          <w:color w:val="000000"/>
          <w:sz w:val="21"/>
          <w:szCs w:val="21"/>
        </w:rPr>
        <w:t xml:space="preserve">You do not need to master everything before writing code. Work through these three levels in order.</w:t>
      </w:r>
    </w:p>
    <w:p>
      <w:pPr>
        <w:pStyle w:val="Heading2"/>
        <w:spacing w:after="120" w:before="240"/>
      </w:pPr>
      <w:r>
        <w:rPr>
          <w:b/>
          <w:bCs/>
          <w:color w:val="1B2A4A"/>
          <w:sz w:val="24"/>
          <w:szCs w:val="24"/>
        </w:rPr>
        <w:t xml:space="preserve">Level 1 — Minimum (start coding here)</w:t>
      </w:r>
    </w:p>
    <w:p>
      <w:pPr>
        <w:spacing w:after="90" w:line="280"/>
        <w:ind w:left="360"/>
      </w:pPr>
      <w:r>
        <w:rPr>
          <w:color w:val="B08D57"/>
          <w:sz w:val="21"/>
          <w:szCs w:val="21"/>
        </w:rPr>
        <w:t xml:space="preserve">☐  </w:t>
      </w:r>
      <w:r>
        <w:rPr>
          <w:sz w:val="21"/>
          <w:szCs w:val="21"/>
        </w:rPr>
        <w:t xml:space="preserve">Options payoff</w:t>
      </w:r>
    </w:p>
    <w:p>
      <w:pPr>
        <w:spacing w:after="90" w:line="280"/>
        <w:ind w:left="360"/>
      </w:pPr>
      <w:r>
        <w:rPr>
          <w:color w:val="B08D57"/>
          <w:sz w:val="21"/>
          <w:szCs w:val="21"/>
        </w:rPr>
        <w:t xml:space="preserve">☐  </w:t>
      </w:r>
      <w:r>
        <w:rPr>
          <w:sz w:val="21"/>
          <w:szCs w:val="21"/>
        </w:rPr>
        <w:t xml:space="preserve">No-arbitrage</w:t>
      </w:r>
    </w:p>
    <w:p>
      <w:pPr>
        <w:spacing w:after="90" w:line="280"/>
        <w:ind w:left="360"/>
      </w:pPr>
      <w:r>
        <w:rPr>
          <w:color w:val="B08D57"/>
          <w:sz w:val="21"/>
          <w:szCs w:val="21"/>
        </w:rPr>
        <w:t xml:space="preserve">☐  </w:t>
      </w:r>
      <w:r>
        <w:rPr>
          <w:sz w:val="21"/>
          <w:szCs w:val="21"/>
        </w:rPr>
        <w:t xml:space="preserve">Put-call parity</w:t>
      </w:r>
    </w:p>
    <w:p>
      <w:pPr>
        <w:spacing w:after="90" w:line="280"/>
        <w:ind w:left="360"/>
      </w:pPr>
      <w:r>
        <w:rPr>
          <w:color w:val="B08D57"/>
          <w:sz w:val="21"/>
          <w:szCs w:val="21"/>
        </w:rPr>
        <w:t xml:space="preserve">☐  </w:t>
      </w:r>
      <w:r>
        <w:rPr>
          <w:sz w:val="21"/>
          <w:szCs w:val="21"/>
        </w:rPr>
        <w:t xml:space="preserve">Binomial pricing</w:t>
      </w:r>
    </w:p>
    <w:p>
      <w:pPr>
        <w:spacing w:after="90" w:line="280"/>
        <w:ind w:left="360"/>
      </w:pPr>
      <w:r>
        <w:rPr>
          <w:color w:val="B08D57"/>
          <w:sz w:val="21"/>
          <w:szCs w:val="21"/>
        </w:rPr>
        <w:t xml:space="preserve">☐  </w:t>
      </w:r>
      <w:r>
        <w:rPr>
          <w:sz w:val="21"/>
          <w:szCs w:val="21"/>
        </w:rPr>
        <w:t xml:space="preserve">Risk-neutral probability</w:t>
      </w:r>
    </w:p>
    <w:p>
      <w:pPr>
        <w:spacing w:after="90" w:line="280"/>
        <w:ind w:left="360"/>
      </w:pPr>
      <w:r>
        <w:rPr>
          <w:color w:val="B08D57"/>
          <w:sz w:val="21"/>
          <w:szCs w:val="21"/>
        </w:rPr>
        <w:t xml:space="preserve">☐  </w:t>
      </w:r>
      <w:r>
        <w:rPr>
          <w:sz w:val="21"/>
          <w:szCs w:val="21"/>
        </w:rPr>
        <w:t xml:space="preserve">Black-Scholes formula</w:t>
      </w:r>
    </w:p>
    <w:p>
      <w:pPr>
        <w:spacing w:after="90" w:line="280"/>
        <w:ind w:left="360"/>
      </w:pPr>
      <w:r>
        <w:rPr>
          <w:color w:val="B08D57"/>
          <w:sz w:val="21"/>
          <w:szCs w:val="21"/>
        </w:rPr>
        <w:t xml:space="preserve">☐  </w:t>
      </w:r>
      <w:r>
        <w:rPr>
          <w:sz w:val="21"/>
          <w:szCs w:val="21"/>
        </w:rPr>
        <w:t xml:space="preserve">Greeks</w:t>
      </w:r>
    </w:p>
    <w:p>
      <w:pPr>
        <w:spacing w:after="90" w:line="280"/>
        <w:ind w:left="360"/>
      </w:pPr>
      <w:r>
        <w:rPr>
          <w:color w:val="B08D57"/>
          <w:sz w:val="21"/>
          <w:szCs w:val="21"/>
        </w:rPr>
        <w:t xml:space="preserve">☐  </w:t>
      </w:r>
      <w:r>
        <w:rPr>
          <w:sz w:val="21"/>
          <w:szCs w:val="21"/>
        </w:rPr>
        <w:t xml:space="preserve">Monte Carlo</w:t>
      </w:r>
    </w:p>
    <w:p>
      <w:pPr>
        <w:spacing w:after="90" w:line="280"/>
        <w:ind w:left="360"/>
      </w:pPr>
      <w:r>
        <w:rPr>
          <w:color w:val="B08D57"/>
          <w:sz w:val="21"/>
          <w:szCs w:val="21"/>
        </w:rPr>
        <w:t xml:space="preserve">☐  </w:t>
      </w:r>
      <w:r>
        <w:rPr>
          <w:sz w:val="21"/>
          <w:szCs w:val="21"/>
        </w:rPr>
        <w:t xml:space="preserve">Implied volatility</w:t>
      </w:r>
    </w:p>
    <w:p>
      <w:pPr>
        <w:spacing w:after="90" w:line="280"/>
        <w:ind w:left="360"/>
      </w:pPr>
      <w:r>
        <w:rPr>
          <w:color w:val="B08D57"/>
          <w:sz w:val="21"/>
          <w:szCs w:val="21"/>
        </w:rPr>
        <w:t xml:space="preserve">☐  </w:t>
      </w:r>
      <w:r>
        <w:rPr>
          <w:sz w:val="21"/>
          <w:szCs w:val="21"/>
        </w:rPr>
        <w:t xml:space="preserve">Basic hedging</w:t>
      </w:r>
    </w:p>
    <w:p>
      <w:pPr>
        <w:pStyle w:val="Heading2"/>
        <w:spacing w:after="120" w:before="240"/>
      </w:pPr>
      <w:r>
        <w:rPr>
          <w:b/>
          <w:bCs/>
          <w:color w:val="1B2A4A"/>
          <w:sz w:val="24"/>
          <w:szCs w:val="24"/>
        </w:rPr>
        <w:t xml:space="preserve">Level 2 — Quant Interview Ready</w:t>
      </w:r>
    </w:p>
    <w:p>
      <w:pPr>
        <w:spacing w:after="90" w:line="280"/>
        <w:ind w:left="360"/>
      </w:pPr>
      <w:r>
        <w:rPr>
          <w:color w:val="B08D57"/>
          <w:sz w:val="21"/>
          <w:szCs w:val="21"/>
        </w:rPr>
        <w:t xml:space="preserve">☐  </w:t>
      </w:r>
      <w:r>
        <w:rPr>
          <w:sz w:val="21"/>
          <w:szCs w:val="21"/>
        </w:rPr>
        <w:t xml:space="preserve">Brownian motion</w:t>
      </w:r>
    </w:p>
    <w:p>
      <w:pPr>
        <w:spacing w:after="90" w:line="280"/>
        <w:ind w:left="360"/>
      </w:pPr>
      <w:r>
        <w:rPr>
          <w:color w:val="B08D57"/>
          <w:sz w:val="21"/>
          <w:szCs w:val="21"/>
        </w:rPr>
        <w:t xml:space="preserve">☐  </w:t>
      </w:r>
      <w:r>
        <w:rPr>
          <w:sz w:val="21"/>
          <w:szCs w:val="21"/>
        </w:rPr>
        <w:t xml:space="preserve">Geometric Brownian motion</w:t>
      </w:r>
    </w:p>
    <w:p>
      <w:pPr>
        <w:spacing w:after="90" w:line="280"/>
        <w:ind w:left="360"/>
      </w:pPr>
      <w:r>
        <w:rPr>
          <w:color w:val="B08D57"/>
          <w:sz w:val="21"/>
          <w:szCs w:val="21"/>
        </w:rPr>
        <w:t xml:space="preserve">☐  </w:t>
      </w:r>
      <w:r>
        <w:rPr>
          <w:sz w:val="21"/>
          <w:szCs w:val="21"/>
        </w:rPr>
        <w:t xml:space="preserve">Itô's lemma</w:t>
      </w:r>
    </w:p>
    <w:p>
      <w:pPr>
        <w:spacing w:after="90" w:line="280"/>
        <w:ind w:left="360"/>
      </w:pPr>
      <w:r>
        <w:rPr>
          <w:color w:val="B08D57"/>
          <w:sz w:val="21"/>
          <w:szCs w:val="21"/>
        </w:rPr>
        <w:t xml:space="preserve">☐  </w:t>
      </w:r>
      <w:r>
        <w:rPr>
          <w:sz w:val="21"/>
          <w:szCs w:val="21"/>
        </w:rPr>
        <w:t xml:space="preserve">Black-Scholes derivation</w:t>
      </w:r>
    </w:p>
    <w:p>
      <w:pPr>
        <w:spacing w:after="90" w:line="280"/>
        <w:ind w:left="360"/>
      </w:pPr>
      <w:r>
        <w:rPr>
          <w:color w:val="B08D57"/>
          <w:sz w:val="21"/>
          <w:szCs w:val="21"/>
        </w:rPr>
        <w:t xml:space="preserve">☐  </w:t>
      </w:r>
      <w:r>
        <w:rPr>
          <w:sz w:val="21"/>
          <w:szCs w:val="21"/>
        </w:rPr>
        <w:t xml:space="preserve">Risk-neutral measure</w:t>
      </w:r>
    </w:p>
    <w:p>
      <w:pPr>
        <w:spacing w:after="90" w:line="280"/>
        <w:ind w:left="360"/>
      </w:pPr>
      <w:r>
        <w:rPr>
          <w:color w:val="B08D57"/>
          <w:sz w:val="21"/>
          <w:szCs w:val="21"/>
        </w:rPr>
        <w:t xml:space="preserve">☐  </w:t>
      </w:r>
      <w:r>
        <w:rPr>
          <w:sz w:val="21"/>
          <w:szCs w:val="21"/>
        </w:rPr>
        <w:t xml:space="preserve">Monte Carlo convergence</w:t>
      </w:r>
    </w:p>
    <w:p>
      <w:pPr>
        <w:spacing w:after="90" w:line="280"/>
        <w:ind w:left="360"/>
      </w:pPr>
      <w:r>
        <w:rPr>
          <w:color w:val="B08D57"/>
          <w:sz w:val="21"/>
          <w:szCs w:val="21"/>
        </w:rPr>
        <w:t xml:space="preserve">☐  </w:t>
      </w:r>
      <w:r>
        <w:rPr>
          <w:sz w:val="21"/>
          <w:szCs w:val="21"/>
        </w:rPr>
        <w:t xml:space="preserve">Numerical differentiation</w:t>
      </w:r>
    </w:p>
    <w:p>
      <w:pPr>
        <w:spacing w:after="90" w:line="280"/>
        <w:ind w:left="360"/>
      </w:pPr>
      <w:r>
        <w:rPr>
          <w:color w:val="B08D57"/>
          <w:sz w:val="21"/>
          <w:szCs w:val="21"/>
        </w:rPr>
        <w:t xml:space="preserve">☐  </w:t>
      </w:r>
      <w:r>
        <w:rPr>
          <w:sz w:val="21"/>
          <w:szCs w:val="21"/>
        </w:rPr>
        <w:t xml:space="preserve">Newton-Raphson</w:t>
      </w:r>
    </w:p>
    <w:p>
      <w:pPr>
        <w:spacing w:after="90" w:line="280"/>
        <w:ind w:left="360"/>
      </w:pPr>
      <w:r>
        <w:rPr>
          <w:color w:val="B08D57"/>
          <w:sz w:val="21"/>
          <w:szCs w:val="21"/>
        </w:rPr>
        <w:t xml:space="preserve">☐  </w:t>
      </w:r>
      <w:r>
        <w:rPr>
          <w:sz w:val="21"/>
          <w:szCs w:val="21"/>
        </w:rPr>
        <w:t xml:space="preserve">Hedge error</w:t>
      </w:r>
    </w:p>
    <w:p>
      <w:pPr>
        <w:spacing w:after="90" w:line="280"/>
        <w:ind w:left="360"/>
      </w:pPr>
      <w:r>
        <w:rPr>
          <w:color w:val="B08D57"/>
          <w:sz w:val="21"/>
          <w:szCs w:val="21"/>
        </w:rPr>
        <w:t xml:space="preserve">☐  </w:t>
      </w:r>
      <w:r>
        <w:rPr>
          <w:sz w:val="21"/>
          <w:szCs w:val="21"/>
        </w:rPr>
        <w:t xml:space="preserve">Volatility smile / skew</w:t>
      </w:r>
    </w:p>
    <w:p>
      <w:pPr>
        <w:pStyle w:val="Heading2"/>
        <w:spacing w:after="120" w:before="240"/>
      </w:pPr>
      <w:r>
        <w:rPr>
          <w:b/>
          <w:bCs/>
          <w:color w:val="1B2A4A"/>
          <w:sz w:val="24"/>
          <w:szCs w:val="24"/>
        </w:rPr>
        <w:t xml:space="preserve">Level 3 — Strong Quant Project</w:t>
      </w:r>
    </w:p>
    <w:p>
      <w:pPr>
        <w:spacing w:after="90" w:line="280"/>
        <w:ind w:left="360"/>
      </w:pPr>
      <w:r>
        <w:rPr>
          <w:color w:val="B08D57"/>
          <w:sz w:val="21"/>
          <w:szCs w:val="21"/>
        </w:rPr>
        <w:t xml:space="preserve">☐  </w:t>
      </w:r>
      <w:r>
        <w:rPr>
          <w:sz w:val="21"/>
          <w:szCs w:val="21"/>
        </w:rPr>
        <w:t xml:space="preserve">Variance reduction</w:t>
      </w:r>
    </w:p>
    <w:p>
      <w:pPr>
        <w:spacing w:after="90" w:line="280"/>
        <w:ind w:left="360"/>
      </w:pPr>
      <w:r>
        <w:rPr>
          <w:color w:val="B08D57"/>
          <w:sz w:val="21"/>
          <w:szCs w:val="21"/>
        </w:rPr>
        <w:t xml:space="preserve">☐  </w:t>
      </w:r>
      <w:r>
        <w:rPr>
          <w:sz w:val="21"/>
          <w:szCs w:val="21"/>
        </w:rPr>
        <w:t xml:space="preserve">Continuous vs. discrete hedging</w:t>
      </w:r>
    </w:p>
    <w:p>
      <w:pPr>
        <w:spacing w:after="90" w:line="280"/>
        <w:ind w:left="360"/>
      </w:pPr>
      <w:r>
        <w:rPr>
          <w:color w:val="B08D57"/>
          <w:sz w:val="21"/>
          <w:szCs w:val="21"/>
        </w:rPr>
        <w:t xml:space="preserve">☐  </w:t>
      </w:r>
      <w:r>
        <w:rPr>
          <w:sz w:val="21"/>
          <w:szCs w:val="21"/>
        </w:rPr>
        <w:t xml:space="preserve">Hedge P&amp;L distribution</w:t>
      </w:r>
    </w:p>
    <w:p>
      <w:pPr>
        <w:spacing w:after="90" w:line="280"/>
        <w:ind w:left="360"/>
      </w:pPr>
      <w:r>
        <w:rPr>
          <w:color w:val="B08D57"/>
          <w:sz w:val="21"/>
          <w:szCs w:val="21"/>
        </w:rPr>
        <w:t xml:space="preserve">☐  </w:t>
      </w:r>
      <w:r>
        <w:rPr>
          <w:sz w:val="21"/>
          <w:szCs w:val="21"/>
        </w:rPr>
        <w:t xml:space="preserve">Volatility surface</w:t>
      </w:r>
    </w:p>
    <w:p>
      <w:pPr>
        <w:spacing w:after="90" w:line="280"/>
        <w:ind w:left="360"/>
      </w:pPr>
      <w:r>
        <w:rPr>
          <w:color w:val="B08D57"/>
          <w:sz w:val="21"/>
          <w:szCs w:val="21"/>
        </w:rPr>
        <w:t xml:space="preserve">☐  </w:t>
      </w:r>
      <w:r>
        <w:rPr>
          <w:sz w:val="21"/>
          <w:szCs w:val="21"/>
        </w:rPr>
        <w:t xml:space="preserve">Calibration framework</w:t>
      </w:r>
    </w:p>
    <w:p>
      <w:pPr>
        <w:spacing w:after="90" w:line="280"/>
        <w:ind w:left="360"/>
      </w:pPr>
      <w:r>
        <w:rPr>
          <w:color w:val="B08D57"/>
          <w:sz w:val="21"/>
          <w:szCs w:val="21"/>
        </w:rPr>
        <w:t xml:space="preserve">☐  </w:t>
      </w:r>
      <w:r>
        <w:rPr>
          <w:sz w:val="21"/>
          <w:szCs w:val="21"/>
        </w:rPr>
        <w:t xml:space="preserve">Stress testing</w:t>
      </w:r>
    </w:p>
    <w:p>
      <w:pPr>
        <w:spacing w:after="90" w:line="280"/>
        <w:ind w:left="360"/>
      </w:pPr>
      <w:r>
        <w:rPr>
          <w:color w:val="B08D57"/>
          <w:sz w:val="21"/>
          <w:szCs w:val="21"/>
        </w:rPr>
        <w:t xml:space="preserve">☐  </w:t>
      </w:r>
      <w:r>
        <w:rPr>
          <w:sz w:val="21"/>
          <w:szCs w:val="21"/>
        </w:rPr>
        <w:t xml:space="preserve">Numerical stability</w:t>
      </w:r>
    </w:p>
    <w:p>
      <w:pPr>
        <w:spacing w:after="90" w:line="280"/>
        <w:ind w:left="360"/>
      </w:pPr>
      <w:r>
        <w:rPr>
          <w:color w:val="B08D57"/>
          <w:sz w:val="21"/>
          <w:szCs w:val="21"/>
        </w:rPr>
        <w:t xml:space="preserve">☐  </w:t>
      </w:r>
      <w:r>
        <w:rPr>
          <w:sz w:val="21"/>
          <w:szCs w:val="21"/>
        </w:rPr>
        <w:t xml:space="preserve">Model validation framework</w:t>
      </w:r>
    </w:p>
    <w:p>
      <w:pPr>
        <w:spacing w:after="90" w:line="280"/>
        <w:ind w:left="360"/>
      </w:pPr>
      <w:r>
        <w:rPr>
          <w:color w:val="B08D57"/>
          <w:sz w:val="21"/>
          <w:szCs w:val="21"/>
        </w:rPr>
        <w:t xml:space="preserve">☐  </w:t>
      </w:r>
      <w:r>
        <w:rPr>
          <w:sz w:val="21"/>
          <w:szCs w:val="21"/>
        </w:rPr>
        <w:t xml:space="preserve">Cross-model benchmarking</w:t>
      </w:r>
    </w:p>
    <w:p>
      <w:pPr>
        <w:spacing w:after="90" w:line="280"/>
        <w:ind w:left="360"/>
      </w:pPr>
      <w:r>
        <w:rPr>
          <w:color w:val="B08D57"/>
          <w:sz w:val="21"/>
          <w:szCs w:val="21"/>
        </w:rPr>
        <w:t xml:space="preserve">☐  </w:t>
      </w:r>
      <w:r>
        <w:rPr>
          <w:sz w:val="21"/>
          <w:szCs w:val="21"/>
        </w:rPr>
        <w:t xml:space="preserve">Automated unit / integration tests</w:t>
      </w:r>
    </w:p>
    <w:p>
      <w:pPr>
        <w:spacing w:after="90" w:line="280"/>
        <w:ind w:left="360"/>
      </w:pPr>
      <w:r>
        <w:rPr>
          <w:color w:val="B08D57"/>
          <w:sz w:val="21"/>
          <w:szCs w:val="21"/>
        </w:rPr>
        <w:t xml:space="preserve">☐  </w:t>
      </w:r>
      <w:r>
        <w:rPr>
          <w:sz w:val="21"/>
          <w:szCs w:val="21"/>
        </w:rPr>
        <w:t xml:space="preserve">Performance benchmarking</w:t>
      </w:r>
    </w:p>
    <w:p>
      <w:r>
        <w:br w:type="page"/>
      </w:r>
    </w:p>
    <w:p>
      <w:pPr>
        <w:pStyle w:val="Heading1"/>
        <w:spacing w:after="200" w:before="400"/>
      </w:pPr>
      <w:r>
        <w:rPr>
          <w:b/>
          <w:bCs/>
          <w:color w:val="1B2A4A"/>
          <w:sz w:val="30"/>
          <w:szCs w:val="30"/>
        </w:rPr>
        <w:t xml:space="preserve">Appendix B — Target System Architecture</w:t>
      </w:r>
    </w:p>
    <w:p>
      <w:pPr>
        <w:spacing w:after="160" w:line="300"/>
      </w:pPr>
      <w:r>
        <w:rPr>
          <w:color w:val="000000"/>
          <w:sz w:val="21"/>
          <w:szCs w:val="21"/>
        </w:rPr>
        <w:t xml:space="preserve">Deliberately build this as more than a pricing library. The end-to-end architecture should demonstrate mathematics, numerical methods, software implementation, and validation working together — the profile of a Quant / Quant Risk / Model Risk project:</w:t>
      </w:r>
    </w:p>
    <w:tbl>
      <w:tblPr>
        <w:tblW w:type="pct" w:w="9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Market Data</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Input Validation</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Pricing Engine</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Black-Scholes  |  Binomial  |  Monte Carlo  (three engines, cross-validated)</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Greeks</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Implied Volatility</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Calibration</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Hedging Engine</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Hedge P&amp;L / Risk</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Validation Framework</w:t>
            </w:r>
          </w:p>
        </w:tc>
      </w:tr>
      <w:tr>
        <w:tc>
          <w:tcPr>
            <w:tcW w:type="pct" w:w="100%"/>
            <w:tcBorders>
              <w:top w:val="single" w:color="FFFFFF" w:sz="4"/>
              <w:left w:val="single" w:color="FFFFFF" w:sz="4"/>
              <w:bottom w:val="single" w:color="FFFFFF" w:sz="4"/>
              <w:right w:val="single" w:color="FFFFFF" w:sz="4"/>
            </w:tcBorders>
            <w:shd w:fill="1B2A4A" w:val="clear"/>
            <w:tcMar>
              <w:top w:type="dxa" w:w="100"/>
              <w:left w:type="dxa" w:w="140"/>
              <w:bottom w:type="dxa" w:w="100"/>
              <w:right w:type="dxa" w:w="140"/>
            </w:tcMar>
          </w:tcPr>
          <w:p>
            <w:pPr>
              <w:jc w:val="center"/>
            </w:pPr>
            <w:r>
              <w:rPr>
                <w:b/>
                <w:bCs/>
                <w:color w:val="FFFFFF"/>
                <w:sz w:val="20"/>
                <w:szCs w:val="20"/>
              </w:rPr>
              <w:t xml:space="preserve">Unit Tests  |  Convergence Checks  |  Benchmarks</w:t>
            </w:r>
          </w:p>
        </w:tc>
      </w:tr>
    </w:tbl>
    <w:p>
      <w:pPr>
        <w:spacing w:before="240"/>
      </w:pPr>
    </w:p>
    <w:p>
      <w:pPr>
        <w:spacing w:after="160" w:line="300"/>
      </w:pPr>
      <w:r>
        <w:rPr>
          <w:color w:val="000000"/>
          <w:sz w:val="21"/>
          <w:szCs w:val="21"/>
        </w:rPr>
        <w:t xml:space="preserve">Recommended build order: Chapter 1 (No-Arbitrage &amp; Option Fundamentals) → Chapter 2 (Binomial Model) → Brownian Motion → GBM → Itô's Lemma → Black-Scholes derivation. That sequence makes the Black-Scholes mathematics considerably easier to absorb than jumping straight to the formula.</w:t>
      </w:r>
    </w:p>
    <w:sectPr>
      <w:headerReference w:type="default" r:id="rId7"/>
      <w:footerReference w:type="default" r:id="rId8"/>
      <w:pgSz w:w="12240" w:h="15840"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Quant Derivatives Theory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 Derivatives Theory Pack</dc:title>
  <dc:creator>Study Guide</dc:creator>
  <cp:lastModifiedBy>Un-named</cp:lastModifiedBy>
  <cp:revision>1</cp:revision>
  <dcterms:created xsi:type="dcterms:W3CDTF">2026-09-03T18:34:28.458Z</dcterms:created>
  <dcterms:modified xsi:type="dcterms:W3CDTF">2026-09-03T18:34:28.459Z</dcterms:modified>
</cp:coreProperties>
</file>

<file path=docProps/custom.xml><?xml version="1.0" encoding="utf-8"?>
<Properties xmlns="http://schemas.openxmlformats.org/officeDocument/2006/custom-properties" xmlns:vt="http://schemas.openxmlformats.org/officeDocument/2006/docPropsVTypes"/>
</file>