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pacing w:after="240"/>
        <w:jc w:val="center"/>
      </w:pPr>
      <w:r>
        <w:rPr>
          <w:rFonts w:ascii="Times New Roman" w:hAnsi="Times New Roman" w:eastAsia="Times New Roman" w:cs="Times New Roman"/>
          <w:sz w:val="48"/>
          <w:szCs w:val="48"/>
        </w:rPr>
        <w:t>Runtime Detection and Prevention of Prompt Injection Attacks in Autonomous LLM Agents Using Behavioural Analysis</w:t>
      </w:r>
    </w:p>
    <w:tbl>
      <w:tblPr>
        <w:tblW w:w="10440" w:type="dxa"/>
        <w:tblBorders>
          <w:top w:val="nil" w:color="FFFFFF" w:sz="0"/>
          <w:left w:val="nil" w:color="FFFFFF" w:sz="0"/>
          <w:bottom w:val="nil" w:color="FFFFFF" w:sz="0"/>
          <w:right w:val="nil" w:color="FFFFFF" w:sz="0"/>
          <w:insideH w:val="nil" w:color="FFFFFF" w:sz="0"/>
          <w:insideV w:val="nil" w:color="FFFFFF" w:sz="0"/>
        </w:tblBorders>
      </w:tblPr>
      <w:tblGrid>
        <w:gridCol w:w="3480"/>
        <w:gridCol w:w="3480"/>
        <w:gridCol w:w="3480"/>
      </w:tblGrid>
      <w:tr w14:paraId="00000002">
        <w:tc>
          <w:tcPr>
            <w:tcW w:w="3480" w:type="dxa"/>
            <w:tcBorders>
              <w:top w:val="nil" w:color="FFFFFF" w:sz="0"/>
              <w:left w:val="nil" w:color="FFFFFF" w:sz="0"/>
              <w:bottom w:val="nil" w:color="FFFFFF" w:sz="0"/>
              <w:right w:val="nil" w:color="FFFFFF" w:sz="0"/>
            </w:tcBorders>
          </w:tcPr>
          <w:p w14:paraId="00000003">
            <w:pPr>
              <w:jc w:val="center"/>
            </w:pPr>
            <w:r>
              <w:rPr>
                <w:rFonts w:ascii="Times New Roman" w:hAnsi="Times New Roman" w:eastAsia="Times New Roman" w:cs="Times New Roman"/>
                <w:sz w:val="22"/>
                <w:szCs w:val="22"/>
                <w:highlight w:val="yellow"/>
              </w:rPr>
              <w:t>Author Name 1</w:t>
            </w:r>
          </w:p>
          <w:p w14:paraId="00000004">
            <w:pPr>
              <w:jc w:val="center"/>
            </w:pPr>
            <w:r>
              <w:rPr>
                <w:rFonts w:ascii="Times New Roman" w:hAnsi="Times New Roman" w:eastAsia="Times New Roman" w:cs="Times New Roman"/>
                <w:i/>
                <w:iCs/>
                <w:sz w:val="20"/>
                <w:szCs w:val="20"/>
                <w:highlight w:val="yellow"/>
              </w:rPr>
              <w:t>Department of Computer Science and Engineering</w:t>
            </w:r>
          </w:p>
          <w:p w14:paraId="00000005">
            <w:pPr>
              <w:jc w:val="center"/>
            </w:pPr>
            <w:r>
              <w:rPr>
                <w:rFonts w:ascii="Times New Roman" w:hAnsi="Times New Roman" w:eastAsia="Times New Roman" w:cs="Times New Roman"/>
                <w:i/>
                <w:iCs/>
                <w:sz w:val="20"/>
                <w:szCs w:val="20"/>
                <w:highlight w:val="yellow"/>
              </w:rPr>
              <w:t>Institution Name</w:t>
            </w:r>
          </w:p>
          <w:p w14:paraId="00000006">
            <w:pPr>
              <w:jc w:val="center"/>
            </w:pPr>
            <w:r>
              <w:rPr>
                <w:rFonts w:ascii="Times New Roman" w:hAnsi="Times New Roman" w:eastAsia="Times New Roman" w:cs="Times New Roman"/>
                <w:sz w:val="20"/>
                <w:szCs w:val="20"/>
                <w:highlight w:val="yellow"/>
              </w:rPr>
              <w:t>City, Country</w:t>
            </w:r>
          </w:p>
          <w:p w14:paraId="00000007">
            <w:pPr>
              <w:jc w:val="center"/>
            </w:pPr>
            <w:r>
              <w:rPr>
                <w:rFonts w:ascii="Times New Roman" w:hAnsi="Times New Roman" w:eastAsia="Times New Roman" w:cs="Times New Roman"/>
                <w:sz w:val="20"/>
                <w:szCs w:val="20"/>
                <w:highlight w:val="yellow"/>
              </w:rPr>
              <w:t>author1@institution.edu</w:t>
            </w:r>
          </w:p>
        </w:tc>
        <w:tc>
          <w:tcPr>
            <w:tcW w:w="3480" w:type="dxa"/>
            <w:tcBorders>
              <w:top w:val="nil" w:color="FFFFFF" w:sz="0"/>
              <w:left w:val="nil" w:color="FFFFFF" w:sz="0"/>
              <w:bottom w:val="nil" w:color="FFFFFF" w:sz="0"/>
              <w:right w:val="nil" w:color="FFFFFF" w:sz="0"/>
            </w:tcBorders>
          </w:tcPr>
          <w:p w14:paraId="00000008">
            <w:pPr>
              <w:jc w:val="center"/>
            </w:pPr>
            <w:r>
              <w:rPr>
                <w:rFonts w:ascii="Times New Roman" w:hAnsi="Times New Roman" w:eastAsia="Times New Roman" w:cs="Times New Roman"/>
                <w:sz w:val="22"/>
                <w:szCs w:val="22"/>
                <w:highlight w:val="yellow"/>
              </w:rPr>
              <w:t>Author Name 2</w:t>
            </w:r>
          </w:p>
          <w:p w14:paraId="00000009">
            <w:pPr>
              <w:jc w:val="center"/>
            </w:pPr>
            <w:r>
              <w:rPr>
                <w:rFonts w:ascii="Times New Roman" w:hAnsi="Times New Roman" w:eastAsia="Times New Roman" w:cs="Times New Roman"/>
                <w:i/>
                <w:iCs/>
                <w:sz w:val="20"/>
                <w:szCs w:val="20"/>
                <w:highlight w:val="yellow"/>
              </w:rPr>
              <w:t>Department of Computer Science and Engineering</w:t>
            </w:r>
          </w:p>
          <w:p w14:paraId="0000000A">
            <w:pPr>
              <w:jc w:val="center"/>
            </w:pPr>
            <w:r>
              <w:rPr>
                <w:rFonts w:ascii="Times New Roman" w:hAnsi="Times New Roman" w:eastAsia="Times New Roman" w:cs="Times New Roman"/>
                <w:i/>
                <w:iCs/>
                <w:sz w:val="20"/>
                <w:szCs w:val="20"/>
                <w:highlight w:val="yellow"/>
              </w:rPr>
              <w:t>Institution Name</w:t>
            </w:r>
          </w:p>
          <w:p w14:paraId="0000000B">
            <w:pPr>
              <w:jc w:val="center"/>
            </w:pPr>
            <w:r>
              <w:rPr>
                <w:rFonts w:ascii="Times New Roman" w:hAnsi="Times New Roman" w:eastAsia="Times New Roman" w:cs="Times New Roman"/>
                <w:sz w:val="20"/>
                <w:szCs w:val="20"/>
                <w:highlight w:val="yellow"/>
              </w:rPr>
              <w:t>City, Country</w:t>
            </w:r>
          </w:p>
          <w:p w14:paraId="0000000C">
            <w:pPr>
              <w:jc w:val="center"/>
            </w:pPr>
            <w:r>
              <w:rPr>
                <w:rFonts w:ascii="Times New Roman" w:hAnsi="Times New Roman" w:eastAsia="Times New Roman" w:cs="Times New Roman"/>
                <w:sz w:val="20"/>
                <w:szCs w:val="20"/>
                <w:highlight w:val="yellow"/>
              </w:rPr>
              <w:t>author2@institution.edu</w:t>
            </w:r>
          </w:p>
        </w:tc>
        <w:tc>
          <w:tcPr>
            <w:tcW w:w="3480" w:type="dxa"/>
            <w:tcBorders>
              <w:top w:val="nil" w:color="FFFFFF" w:sz="0"/>
              <w:left w:val="nil" w:color="FFFFFF" w:sz="0"/>
              <w:bottom w:val="nil" w:color="FFFFFF" w:sz="0"/>
              <w:right w:val="nil" w:color="FFFFFF" w:sz="0"/>
            </w:tcBorders>
          </w:tcPr>
          <w:p w14:paraId="0000000D">
            <w:pPr>
              <w:jc w:val="center"/>
            </w:pPr>
            <w:r>
              <w:rPr>
                <w:rFonts w:ascii="Times New Roman" w:hAnsi="Times New Roman" w:eastAsia="Times New Roman" w:cs="Times New Roman"/>
                <w:sz w:val="22"/>
                <w:szCs w:val="22"/>
                <w:highlight w:val="yellow"/>
              </w:rPr>
              <w:t>Author Name 3</w:t>
            </w:r>
          </w:p>
          <w:p w14:paraId="0000000E">
            <w:pPr>
              <w:jc w:val="center"/>
            </w:pPr>
            <w:r>
              <w:rPr>
                <w:rFonts w:ascii="Times New Roman" w:hAnsi="Times New Roman" w:eastAsia="Times New Roman" w:cs="Times New Roman"/>
                <w:i/>
                <w:iCs/>
                <w:sz w:val="20"/>
                <w:szCs w:val="20"/>
                <w:highlight w:val="yellow"/>
              </w:rPr>
              <w:t>Department of Computer Science and Engineering</w:t>
            </w:r>
          </w:p>
          <w:p w14:paraId="0000000F">
            <w:pPr>
              <w:jc w:val="center"/>
            </w:pPr>
            <w:r>
              <w:rPr>
                <w:rFonts w:ascii="Times New Roman" w:hAnsi="Times New Roman" w:eastAsia="Times New Roman" w:cs="Times New Roman"/>
                <w:i/>
                <w:iCs/>
                <w:sz w:val="20"/>
                <w:szCs w:val="20"/>
                <w:highlight w:val="yellow"/>
              </w:rPr>
              <w:t>Institution Name</w:t>
            </w:r>
          </w:p>
          <w:p w14:paraId="00000010">
            <w:pPr>
              <w:jc w:val="center"/>
            </w:pPr>
            <w:r>
              <w:rPr>
                <w:rFonts w:ascii="Times New Roman" w:hAnsi="Times New Roman" w:eastAsia="Times New Roman" w:cs="Times New Roman"/>
                <w:sz w:val="20"/>
                <w:szCs w:val="20"/>
                <w:highlight w:val="yellow"/>
              </w:rPr>
              <w:t>City, Country</w:t>
            </w:r>
          </w:p>
          <w:p w14:paraId="00000011">
            <w:pPr>
              <w:jc w:val="center"/>
            </w:pPr>
            <w:r>
              <w:rPr>
                <w:rFonts w:ascii="Times New Roman" w:hAnsi="Times New Roman" w:eastAsia="Times New Roman" w:cs="Times New Roman"/>
                <w:sz w:val="20"/>
                <w:szCs w:val="20"/>
                <w:highlight w:val="yellow"/>
              </w:rPr>
              <w:t>author3@institution.edu</w:t>
            </w:r>
          </w:p>
        </w:tc>
      </w:tr>
    </w:tbl>
    <w:p w14:paraId="00000012">
      <w:pPr>
        <w:spacing w:after="200"/>
        <w:sectPr>
          <w:pgSz w:w="12240" w:h="15840" w:orient="portrait"/>
          <w:pgMar w:top="1080" w:right="900" w:bottom="1440" w:left="900" w:header="708" w:footer="708" w:gutter="0"/>
          <w:pgNumType/>
          <w:docGrid w:linePitch="360"/>
        </w:sectPr>
      </w:pPr>
    </w:p>
    <w:p w14:paraId="00000013">
      <w:pPr>
        <w:spacing w:after="100"/>
        <w:jc w:val="both"/>
      </w:pPr>
      <w:r>
        <w:rPr>
          <w:rFonts w:ascii="Times New Roman" w:hAnsi="Times New Roman" w:eastAsia="Times New Roman" w:cs="Times New Roman"/>
          <w:b/>
          <w:bCs/>
          <w:i/>
          <w:iCs/>
          <w:sz w:val="18"/>
          <w:szCs w:val="18"/>
        </w:rPr>
        <w:t>Abstract</w:t>
      </w:r>
      <w:r>
        <w:rPr>
          <w:rFonts w:ascii="Times New Roman" w:hAnsi="Times New Roman" w:eastAsia="Times New Roman" w:cs="Times New Roman"/>
          <w:b/>
          <w:bCs/>
          <w:sz w:val="18"/>
          <w:szCs w:val="18"/>
        </w:rPr>
        <w:t>—</w:t>
      </w:r>
      <w:r>
        <w:rPr>
          <w:rFonts w:ascii="Times New Roman" w:hAnsi="Times New Roman" w:eastAsia="Times New Roman" w:cs="Times New Roman"/>
          <w:b/>
          <w:bCs/>
          <w:sz w:val="18"/>
          <w:szCs w:val="18"/>
        </w:rPr>
        <w:t>Autonomous agents built on large language models (LLMs) read untrusted content such as e-mails, web pages and product reviews through tools and then act on it with the user's privileges. Indirect prompt injection exploits this channel: instructions hidden in tool outputs hijack the agent into transferring money, unlocking doors or exfiltrating private data. Detectors that inspect text alone miss injections phrased as ordinary requests. We present a three-layer runtime guard that wraps every tool call of an agent. Layer 1 scans untrusted tool outputs with a stacked ensemble that combines two benchmark detectors published on Kaggle (ProtectAI DeBERTa-v3 and Wolf Defender) with TF-IDF and MiniLM-based classifiers trained on 69,072 de-duplicated prompts from three Kaggle datasets. Layer 2, the core contribution, is a behavioural monitor that scores each proposed tool call using 18 features describing goal alignment, drift toward untrusted content, argument provenance, tool risk and exfiltration flow. Layer 3 enforces a prevention policy with graded security alerts and session lockdown. The ensemble reaches an F1-score of 0.954 in-distribution and 0.968 on an unseen Kaggle dataset, compared with 0.76–0.80 for the benchmark detectors in-distribution. On 8,432 agent traces derived from the InjecAgent benchmark, including hard negatives in which the user legitimately requests the same sensitive actions, the behavioural monitor detects hijacked tool calls with an F1-score of 0.993 and a 0.28% false-alarm rate on attacker goals unseen during training. The complete guard prevented every hijacked trajectory while 99.1% of benign tasks completed uninterrupted, adding about 25 ms per tool call on a CPU.</w:t>
      </w:r>
    </w:p>
    <w:p w14:paraId="00000014">
      <w:pPr>
        <w:spacing w:after="120"/>
        <w:jc w:val="both"/>
      </w:pPr>
      <w:r>
        <w:rPr>
          <w:rFonts w:ascii="Times New Roman" w:hAnsi="Times New Roman" w:eastAsia="Times New Roman" w:cs="Times New Roman"/>
          <w:b/>
          <w:bCs/>
          <w:i/>
          <w:iCs/>
          <w:sz w:val="18"/>
          <w:szCs w:val="18"/>
        </w:rPr>
        <w:t>Index Terms</w:t>
      </w:r>
      <w:r>
        <w:rPr>
          <w:rFonts w:ascii="Times New Roman" w:hAnsi="Times New Roman" w:eastAsia="Times New Roman" w:cs="Times New Roman"/>
          <w:b/>
          <w:bCs/>
          <w:sz w:val="18"/>
          <w:szCs w:val="18"/>
        </w:rPr>
        <w:t>—prompt injection, large language model agents, behavioural analysis, runtime monitoring, intrusion detection, AI security.</w:t>
      </w:r>
    </w:p>
    <w:p w14:paraId="00000015">
      <w:pPr>
        <w:pStyle w:val="Heading1"/>
        <w:keepNext/>
        <w:spacing w:after="80" w:before="200"/>
        <w:jc w:val="center"/>
      </w:pPr>
      <w:r>
        <w:rPr>
          <w:rFonts w:ascii="Times New Roman" w:hAnsi="Times New Roman" w:eastAsia="Times New Roman" w:cs="Times New Roman"/>
          <w:smallCaps/>
          <w:color w:val="000000"/>
          <w:sz w:val="20"/>
          <w:szCs w:val="20"/>
        </w:rPr>
        <w:t>I. Introduction</w:t>
      </w:r>
    </w:p>
    <w:p w14:paraId="00000016">
      <w:pPr>
        <w:spacing w:after="0" w:line="240"/>
        <w:ind w:firstLine="202"/>
        <w:jc w:val="both"/>
      </w:pPr>
      <w:r>
        <w:rPr>
          <w:rFonts w:ascii="Times New Roman" w:hAnsi="Times New Roman" w:eastAsia="Times New Roman" w:cs="Times New Roman"/>
          <w:sz w:val="20"/>
          <w:szCs w:val="20"/>
        </w:rPr>
        <w:t xml:space="preserve">Large language models (LLMs) are increasingly deployed as autonomous agents that plan and invoke external tools </w:t>
      </w:r>
      <w:r>
        <w:rPr>
          <w:rFonts w:ascii="Times New Roman" w:hAnsi="Times New Roman" w:eastAsia="Times New Roman" w:cs="Times New Roman"/>
          <w:sz w:val="20"/>
          <w:szCs w:val="20"/>
        </w:rPr>
        <w:t>[1], [2]</w:t>
      </w:r>
      <w:r>
        <w:rPr>
          <w:rFonts w:ascii="Times New Roman" w:hAnsi="Times New Roman" w:eastAsia="Times New Roman" w:cs="Times New Roman"/>
          <w:sz w:val="20"/>
          <w:szCs w:val="20"/>
        </w:rPr>
        <w:t xml:space="preserve">. An e-mail assistant reads the inbox, a shopping agent reads product reviews and a home assistant controls smart locks. Every such tool output is data from a party the user does not control, yet it enters the same context window as the user's instruction. </w:t>
      </w:r>
      <w:r>
        <w:rPr>
          <w:rFonts w:ascii="Times New Roman" w:hAnsi="Times New Roman" w:eastAsia="Times New Roman" w:cs="Times New Roman"/>
          <w:i/>
          <w:iCs/>
          <w:sz w:val="20"/>
          <w:szCs w:val="20"/>
        </w:rPr>
        <w:t>Indirect prompt injection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[3]</w:t>
      </w:r>
      <w:r>
        <w:rPr>
          <w:rFonts w:ascii="Times New Roman" w:hAnsi="Times New Roman" w:eastAsia="Times New Roman" w:cs="Times New Roman"/>
          <w:sz w:val="20"/>
          <w:szCs w:val="20"/>
        </w:rPr>
        <w:t xml:space="preserve"> abuses this: an attacker plants an instruction in content the agent will read, and the model, unable to reliably separate data from instructions, executes it with the user's privileges. Prompt injection is ranked first in the OWASP Top 10 for LLM applications </w:t>
      </w:r>
      <w:r>
        <w:rPr>
          <w:rFonts w:ascii="Times New Roman" w:hAnsi="Times New Roman" w:eastAsia="Times New Roman" w:cs="Times New Roman"/>
          <w:sz w:val="20"/>
          <w:szCs w:val="20"/>
        </w:rPr>
        <w:t>[4]</w:t>
      </w:r>
      <w:r>
        <w:rPr>
          <w:rFonts w:ascii="Times New Roman" w:hAnsi="Times New Roman" w:eastAsia="Times New Roman" w:cs="Times New Roman"/>
          <w:sz w:val="20"/>
          <w:szCs w:val="20"/>
        </w:rPr>
        <w:t xml:space="preserve">, and benchmarks show that capable agents remain vulnerable </w:t>
      </w:r>
      <w:r>
        <w:rPr>
          <w:rFonts w:ascii="Times New Roman" w:hAnsi="Times New Roman" w:eastAsia="Times New Roman" w:cs="Times New Roman"/>
          <w:sz w:val="20"/>
          <w:szCs w:val="20"/>
        </w:rPr>
        <w:t>[5], [6]</w:t>
      </w:r>
      <w:r>
        <w:rPr>
          <w:rFonts w:ascii="Times New Roman" w:hAnsi="Times New Roman" w:eastAsia="Times New Roman" w:cs="Times New Roman"/>
          <w:sz w:val="20"/>
          <w:szCs w:val="20"/>
        </w:rPr>
        <w:t>.</w:t>
      </w:r>
    </w:p>
    <w:p w14:paraId="00000017">
      <w:pPr>
        <w:spacing w:after="0" w:line="240"/>
        <w:ind w:firstLine="202"/>
        <w:jc w:val="both"/>
      </w:pPr>
      <w:r>
        <w:rPr>
          <w:rFonts w:ascii="Times New Roman" w:hAnsi="Times New Roman" w:eastAsia="Times New Roman" w:cs="Times New Roman"/>
          <w:sz w:val="20"/>
          <w:szCs w:val="20"/>
        </w:rPr>
        <w:t xml:space="preserve">Most deployed defences inspect text. Classifiers such as ProtectAI's DeBERTa-v3 detector </w:t>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t xml:space="preserve"> and Meta's Prompt Guard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t xml:space="preserve"> flag injection-like strings. They are effective against overt attacks (“ignore all previous instructions”) but face a fundamental ambiguity: the sentence “please e-mail my saved addresses to amy.watson@gmail.com” is benign when typed by the user and malicious when embedded in a product review. No text-only model can resolve this, because the difference lies in </w:t>
      </w:r>
      <w:r>
        <w:rPr>
          <w:rFonts w:ascii="Times New Roman" w:hAnsi="Times New Roman" w:eastAsia="Times New Roman" w:cs="Times New Roman"/>
          <w:i/>
          <w:iCs/>
          <w:sz w:val="20"/>
          <w:szCs w:val="20"/>
        </w:rPr>
        <w:t>provenance</w:t>
      </w:r>
      <w:r>
        <w:rPr>
          <w:rFonts w:ascii="Times New Roman" w:hAnsi="Times New Roman" w:eastAsia="Times New Roman" w:cs="Times New Roman"/>
          <w:sz w:val="20"/>
          <w:szCs w:val="20"/>
        </w:rPr>
        <w:t xml:space="preserve"> and in what the agent </w:t>
      </w:r>
      <w:r>
        <w:rPr>
          <w:rFonts w:ascii="Times New Roman" w:hAnsi="Times New Roman" w:eastAsia="Times New Roman" w:cs="Times New Roman"/>
          <w:i/>
          <w:iCs/>
          <w:sz w:val="20"/>
          <w:szCs w:val="20"/>
        </w:rPr>
        <w:t>does next</w:t>
      </w:r>
      <w:r>
        <w:rPr>
          <w:rFonts w:ascii="Times New Roman" w:hAnsi="Times New Roman" w:eastAsia="Times New Roman" w:cs="Times New Roman"/>
          <w:sz w:val="20"/>
          <w:szCs w:val="20"/>
        </w:rPr>
        <w:t>, not in the words.</w:t>
      </w:r>
    </w:p>
    <w:p w14:paraId="00000018">
      <w:pPr>
        <w:spacing w:after="0" w:line="240"/>
        <w:ind w:firstLine="202"/>
        <w:jc w:val="both"/>
      </w:pPr>
      <w:r>
        <w:rPr>
          <w:rFonts w:ascii="Times New Roman" w:hAnsi="Times New Roman" w:eastAsia="Times New Roman" w:cs="Times New Roman"/>
          <w:sz w:val="20"/>
          <w:szCs w:val="20"/>
        </w:rPr>
        <w:t xml:space="preserve">We therefore adopt a behavioural-analysis view inspired by host-based intrusion detection, where processes are monitored through the system calls they make </w:t>
      </w:r>
      <w:r>
        <w:rPr>
          <w:rFonts w:ascii="Times New Roman" w:hAnsi="Times New Roman" w:eastAsia="Times New Roman" w:cs="Times New Roman"/>
          <w:sz w:val="20"/>
          <w:szCs w:val="20"/>
        </w:rPr>
        <w:t>[9], [10]</w:t>
      </w:r>
      <w:r>
        <w:rPr>
          <w:rFonts w:ascii="Times New Roman" w:hAnsi="Times New Roman" w:eastAsia="Times New Roman" w:cs="Times New Roman"/>
          <w:sz w:val="20"/>
          <w:szCs w:val="20"/>
        </w:rPr>
        <w:t>. For an agent, tool calls play the role of system calls. At runtime, before each call executes, we ask: is this action explained by the user's goal, or by untrusted content the agent has just read? Our contributions are:</w:t>
      </w:r>
    </w:p>
    <w:p w14:paraId="00000019">
      <w:pPr>
        <w:pStyle w:val="ListParagraph"/>
        <w:numPr>
          <w:ilvl w:val="0"/>
          <w:numId w:val="2"/>
        </w:numPr>
        <w:spacing w:after="20" w:line="240"/>
        <w:jc w:val="both"/>
      </w:pPr>
      <w:r>
        <w:rPr>
          <w:rFonts w:ascii="Times New Roman" w:hAnsi="Times New Roman" w:eastAsia="Times New Roman" w:cs="Times New Roman"/>
          <w:sz w:val="20"/>
          <w:szCs w:val="20"/>
        </w:rPr>
        <w:t>A three-layer runtime architecture (content detection, behavioural monitoring, and prevention with security alerting) that wraps the tools of any agent without modifying the underlying LLM.</w:t>
      </w:r>
    </w:p>
    <w:p w14:paraId="0000001A">
      <w:pPr>
        <w:pStyle w:val="ListParagraph"/>
        <w:numPr>
          <w:ilvl w:val="0"/>
          <w:numId w:val="2"/>
        </w:numPr>
        <w:spacing w:after="20" w:line="240"/>
        <w:jc w:val="both"/>
      </w:pPr>
      <w:r>
        <w:rPr>
          <w:rFonts w:ascii="Times New Roman" w:hAnsi="Times New Roman" w:eastAsia="Times New Roman" w:cs="Times New Roman"/>
          <w:sz w:val="20"/>
          <w:szCs w:val="20"/>
        </w:rPr>
        <w:t>A benchmark of two Kaggle-hosted injection detectors against classifiers trained on three Kaggle datasets, and a stacked ensemble that is the most accurate model both in-distribution and on an unseen dataset.</w:t>
      </w:r>
    </w:p>
    <w:p w14:paraId="0000001B">
      <w:pPr>
        <w:pStyle w:val="ListParagraph"/>
        <w:numPr>
          <w:ilvl w:val="0"/>
          <w:numId w:val="2"/>
        </w:numPr>
        <w:spacing w:after="20" w:line="240"/>
        <w:jc w:val="both"/>
      </w:pPr>
      <w:r>
        <w:rPr>
          <w:rFonts w:ascii="Times New Roman" w:hAnsi="Times New Roman" w:eastAsia="Times New Roman" w:cs="Times New Roman"/>
          <w:sz w:val="20"/>
          <w:szCs w:val="20"/>
        </w:rPr>
        <w:t>An 18-feature behavioural representation of tool calls covering goal alignment, drift, argument provenance (taint), capability risk and exfiltration flow, and a monitor that detects hijacked calls for attacker goals and user tasks unseen during training.</w:t>
      </w:r>
    </w:p>
    <w:p w14:paraId="0000001C">
      <w:pPr>
        <w:pStyle w:val="ListParagraph"/>
        <w:numPr>
          <w:ilvl w:val="0"/>
          <w:numId w:val="2"/>
        </w:numPr>
        <w:spacing w:after="20" w:line="240"/>
        <w:jc w:val="both"/>
      </w:pPr>
      <w:r>
        <w:rPr>
          <w:rFonts w:ascii="Times New Roman" w:hAnsi="Times New Roman" w:eastAsia="Times New Roman" w:cs="Times New Roman"/>
          <w:sz w:val="20"/>
          <w:szCs w:val="20"/>
        </w:rPr>
        <w:t>An evaluation on 8,432 InjecAgent-derived traces that includes hard negatives in which the user legitimately requests the same sensitive actions, an end-to-end attack-success and utility analysis, and an open implementation with an interactive demonstrator.</w:t>
      </w:r>
    </w:p>
    <w:p w14:paraId="0000001D">
      <w:pPr>
        <w:spacing w:after="0" w:line="240"/>
        <w:ind w:firstLine="202"/>
        <w:jc w:val="both"/>
      </w:pPr>
      <w:r>
        <w:rPr>
          <w:rFonts w:ascii="Times New Roman" w:hAnsi="Times New Roman" w:eastAsia="Times New Roman" w:cs="Times New Roman"/>
          <w:sz w:val="20"/>
          <w:szCs w:val="20"/>
        </w:rPr>
        <w:t>Section II reviews related work, Section III defines the threat model, Section IV presents the system, Sections V and VI describe the experiments and results, Section VII discusses limitations and Section VIII concludes.</w:t>
      </w:r>
    </w:p>
    <w:p w14:paraId="0000001E">
      <w:pPr>
        <w:pStyle w:val="Heading1"/>
        <w:keepNext/>
        <w:spacing w:after="80" w:before="200"/>
        <w:jc w:val="center"/>
      </w:pPr>
      <w:r>
        <w:rPr>
          <w:rFonts w:ascii="Times New Roman" w:hAnsi="Times New Roman" w:eastAsia="Times New Roman" w:cs="Times New Roman"/>
          <w:smallCaps/>
          <w:color w:val="000000"/>
          <w:sz w:val="20"/>
          <w:szCs w:val="20"/>
        </w:rPr>
        <w:t>II. Related Work</w:t>
      </w:r>
    </w:p>
    <w:p w14:paraId="0000001F">
      <w:pPr>
        <w:pStyle w:val="Heading2"/>
        <w:keepNext/>
        <w:spacing w:after="40" w:before="100"/>
      </w:pPr>
      <w:r>
        <w:rPr>
          <w:rFonts w:ascii="Times New Roman" w:hAnsi="Times New Roman" w:eastAsia="Times New Roman" w:cs="Times New Roman"/>
          <w:i/>
          <w:iCs/>
          <w:color w:val="000000"/>
          <w:sz w:val="20"/>
          <w:szCs w:val="20"/>
        </w:rPr>
        <w:t>A. Prompt Injection Attacks</w:t>
      </w:r>
    </w:p>
    <w:p w14:paraId="00000020">
      <w:pPr>
        <w:spacing w:after="0" w:line="240"/>
        <w:ind w:firstLine="202"/>
        <w:jc w:val="both"/>
      </w:pPr>
      <w:r>
        <w:rPr>
          <w:rFonts w:ascii="Times New Roman" w:hAnsi="Times New Roman" w:eastAsia="Times New Roman" w:cs="Times New Roman"/>
          <w:sz w:val="20"/>
          <w:szCs w:val="20"/>
        </w:rPr>
        <w:t xml:space="preserve">Perez and Ribeiro showed that goal hijacking and prompt leaking can be achieved with simple handcrafted prompts </w:t>
      </w:r>
      <w:r>
        <w:rPr>
          <w:rFonts w:ascii="Times New Roman" w:hAnsi="Times New Roman" w:eastAsia="Times New Roman" w:cs="Times New Roman"/>
          <w:sz w:val="20"/>
          <w:szCs w:val="20"/>
        </w:rPr>
        <w:t>[11]</w:t>
      </w:r>
      <w:r>
        <w:rPr>
          <w:rFonts w:ascii="Times New Roman" w:hAnsi="Times New Roman" w:eastAsia="Times New Roman" w:cs="Times New Roman"/>
          <w:sz w:val="20"/>
          <w:szCs w:val="20"/>
        </w:rPr>
        <w:t xml:space="preserve">. Greshake et al. introduced indirect prompt injection against LLM-integrated applications, where the payload arrives through retrieved data rather than from the user </w:t>
      </w:r>
      <w:r>
        <w:rPr>
          <w:rFonts w:ascii="Times New Roman" w:hAnsi="Times New Roman" w:eastAsia="Times New Roman" w:cs="Times New Roman"/>
          <w:sz w:val="20"/>
          <w:szCs w:val="20"/>
        </w:rPr>
        <w:t>[3]</w:t>
      </w:r>
      <w:r>
        <w:rPr>
          <w:rFonts w:ascii="Times New Roman" w:hAnsi="Times New Roman" w:eastAsia="Times New Roman" w:cs="Times New Roman"/>
          <w:sz w:val="20"/>
          <w:szCs w:val="20"/>
        </w:rPr>
        <w:t xml:space="preserve">. Liu et al. formalised injection attacks and benchmarked attacks and defences across tasks </w:t>
      </w:r>
      <w:r>
        <w:rPr>
          <w:rFonts w:ascii="Times New Roman" w:hAnsi="Times New Roman" w:eastAsia="Times New Roman" w:cs="Times New Roman"/>
          <w:sz w:val="20"/>
          <w:szCs w:val="20"/>
        </w:rPr>
        <w:t>[12]</w:t>
      </w:r>
      <w:r>
        <w:rPr>
          <w:rFonts w:ascii="Times New Roman" w:hAnsi="Times New Roman" w:eastAsia="Times New Roman" w:cs="Times New Roman"/>
          <w:sz w:val="20"/>
          <w:szCs w:val="20"/>
        </w:rPr>
        <w:t xml:space="preserve">, and Shen et al. characterised thousands of in-the-wild jailbreak prompts </w:t>
      </w:r>
      <w:r>
        <w:rPr>
          <w:rFonts w:ascii="Times New Roman" w:hAnsi="Times New Roman" w:eastAsia="Times New Roman" w:cs="Times New Roman"/>
          <w:sz w:val="20"/>
          <w:szCs w:val="20"/>
        </w:rPr>
        <w:t>[13]</w:t>
      </w:r>
      <w:r>
        <w:rPr>
          <w:rFonts w:ascii="Times New Roman" w:hAnsi="Times New Roman" w:eastAsia="Times New Roman" w:cs="Times New Roman"/>
          <w:sz w:val="20"/>
          <w:szCs w:val="20"/>
        </w:rPr>
        <w:t>, a collection that also appears in our training data.</w:t>
      </w:r>
    </w:p>
    <w:p w14:paraId="00000021">
      <w:pPr>
        <w:pStyle w:val="Heading2"/>
        <w:keepNext/>
        <w:spacing w:after="40" w:before="100"/>
      </w:pPr>
      <w:r>
        <w:rPr>
          <w:rFonts w:ascii="Times New Roman" w:hAnsi="Times New Roman" w:eastAsia="Times New Roman" w:cs="Times New Roman"/>
          <w:i/>
          <w:iCs/>
          <w:color w:val="000000"/>
          <w:sz w:val="20"/>
          <w:szCs w:val="20"/>
        </w:rPr>
        <w:t>B. Agent Benchmarks</w:t>
      </w:r>
    </w:p>
    <w:p w14:paraId="00000022">
      <w:pPr>
        <w:spacing w:after="0" w:line="240"/>
        <w:ind w:firstLine="202"/>
        <w:jc w:val="both"/>
      </w:pPr>
      <w:r>
        <w:rPr>
          <w:rFonts w:ascii="Times New Roman" w:hAnsi="Times New Roman" w:eastAsia="Times New Roman" w:cs="Times New Roman"/>
          <w:sz w:val="20"/>
          <w:szCs w:val="20"/>
        </w:rPr>
        <w:t xml:space="preserve">InjecAgent </w:t>
      </w:r>
      <w:r>
        <w:rPr>
          <w:rFonts w:ascii="Times New Roman" w:hAnsi="Times New Roman" w:eastAsia="Times New Roman" w:cs="Times New Roman"/>
          <w:sz w:val="20"/>
          <w:szCs w:val="20"/>
        </w:rPr>
        <w:t>[5]</w:t>
      </w:r>
      <w:r>
        <w:rPr>
          <w:rFonts w:ascii="Times New Roman" w:hAnsi="Times New Roman" w:eastAsia="Times New Roman" w:cs="Times New Roman"/>
          <w:sz w:val="20"/>
          <w:szCs w:val="20"/>
        </w:rPr>
        <w:t xml:space="preserve"> pairs 17 user tasks with 62 attacker goals over realistic tool specifications, grouped into direct-harm and data-stealing attacks, each in a base and an “enhanced” phrasing. AgentDojo </w:t>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t xml:space="preserve"> provides a dynamic environment with stateful tasks and adaptive attacks, and ToolEmu </w:t>
      </w:r>
      <w:r>
        <w:rPr>
          <w:rFonts w:ascii="Times New Roman" w:hAnsi="Times New Roman" w:eastAsia="Times New Roman" w:cs="Times New Roman"/>
          <w:sz w:val="20"/>
          <w:szCs w:val="20"/>
        </w:rPr>
        <w:t>[14]</w:t>
      </w:r>
      <w:r>
        <w:rPr>
          <w:rFonts w:ascii="Times New Roman" w:hAnsi="Times New Roman" w:eastAsia="Times New Roman" w:cs="Times New Roman"/>
          <w:sz w:val="20"/>
          <w:szCs w:val="20"/>
        </w:rPr>
        <w:t xml:space="preserve"> uses an LM-emulated sandbox to surface risky agent behaviour. We build our behavioural traces on InjecAgent.</w:t>
      </w:r>
    </w:p>
    <w:p w14:paraId="00000023">
      <w:pPr>
        <w:pStyle w:val="Heading2"/>
        <w:keepNext/>
        <w:spacing w:after="40" w:before="100"/>
      </w:pPr>
      <w:r>
        <w:rPr>
          <w:rFonts w:ascii="Times New Roman" w:hAnsi="Times New Roman" w:eastAsia="Times New Roman" w:cs="Times New Roman"/>
          <w:i/>
          <w:iCs/>
          <w:color w:val="000000"/>
          <w:sz w:val="20"/>
          <w:szCs w:val="20"/>
        </w:rPr>
        <w:t>C. Defences</w:t>
      </w:r>
    </w:p>
    <w:p w14:paraId="00000024">
      <w:pPr>
        <w:spacing w:after="0" w:line="240"/>
        <w:ind w:firstLine="202"/>
        <w:jc w:val="both"/>
      </w:pPr>
      <w:r>
        <w:rPr>
          <w:rFonts w:ascii="Times New Roman" w:hAnsi="Times New Roman" w:eastAsia="Times New Roman" w:cs="Times New Roman"/>
          <w:sz w:val="20"/>
          <w:szCs w:val="20"/>
        </w:rPr>
        <w:t xml:space="preserve">Detection defences classify text as benign or injected; public examples include fine-tuned DeBERTa-v3 models </w:t>
      </w:r>
      <w:r>
        <w:rPr>
          <w:rFonts w:ascii="Times New Roman" w:hAnsi="Times New Roman" w:eastAsia="Times New Roman" w:cs="Times New Roman"/>
          <w:sz w:val="20"/>
          <w:szCs w:val="20"/>
        </w:rPr>
        <w:t>[7], [15]</w:t>
      </w:r>
      <w:r>
        <w:rPr>
          <w:rFonts w:ascii="Times New Roman" w:hAnsi="Times New Roman" w:eastAsia="Times New Roman" w:cs="Times New Roman"/>
          <w:sz w:val="20"/>
          <w:szCs w:val="20"/>
        </w:rPr>
        <w:t xml:space="preserve"> and Prompt Guard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t xml:space="preserve">. Prompt- and training-level defences separate data from instructions: StruQ </w:t>
      </w:r>
      <w:r>
        <w:rPr>
          <w:rFonts w:ascii="Times New Roman" w:hAnsi="Times New Roman" w:eastAsia="Times New Roman" w:cs="Times New Roman"/>
          <w:sz w:val="20"/>
          <w:szCs w:val="20"/>
        </w:rPr>
        <w:t>[16]</w:t>
      </w:r>
      <w:r>
        <w:rPr>
          <w:rFonts w:ascii="Times New Roman" w:hAnsi="Times New Roman" w:eastAsia="Times New Roman" w:cs="Times New Roman"/>
          <w:sz w:val="20"/>
          <w:szCs w:val="20"/>
        </w:rPr>
        <w:t xml:space="preserve"> trains models on structured queries, the instruction hierarchy </w:t>
      </w:r>
      <w:r>
        <w:rPr>
          <w:rFonts w:ascii="Times New Roman" w:hAnsi="Times New Roman" w:eastAsia="Times New Roman" w:cs="Times New Roman"/>
          <w:sz w:val="20"/>
          <w:szCs w:val="20"/>
        </w:rPr>
        <w:t>[17]</w:t>
      </w:r>
      <w:r>
        <w:rPr>
          <w:rFonts w:ascii="Times New Roman" w:hAnsi="Times New Roman" w:eastAsia="Times New Roman" w:cs="Times New Roman"/>
          <w:sz w:val="20"/>
          <w:szCs w:val="20"/>
        </w:rPr>
        <w:t xml:space="preserve"> teaches models to prioritise privileged instructions, and spotlighting </w:t>
      </w:r>
      <w:r>
        <w:rPr>
          <w:rFonts w:ascii="Times New Roman" w:hAnsi="Times New Roman" w:eastAsia="Times New Roman" w:cs="Times New Roman"/>
          <w:sz w:val="20"/>
          <w:szCs w:val="20"/>
        </w:rPr>
        <w:t>[18]</w:t>
      </w:r>
      <w:r>
        <w:rPr>
          <w:rFonts w:ascii="Times New Roman" w:hAnsi="Times New Roman" w:eastAsia="Times New Roman" w:cs="Times New Roman"/>
          <w:sz w:val="20"/>
          <w:szCs w:val="20"/>
        </w:rPr>
        <w:t xml:space="preserve"> marks untrusted content. System-level designs such as CaMeL </w:t>
      </w:r>
      <w:r>
        <w:rPr>
          <w:rFonts w:ascii="Times New Roman" w:hAnsi="Times New Roman" w:eastAsia="Times New Roman" w:cs="Times New Roman"/>
          <w:sz w:val="20"/>
          <w:szCs w:val="20"/>
        </w:rPr>
        <w:t>[19]</w:t>
      </w:r>
      <w:r>
        <w:rPr>
          <w:rFonts w:ascii="Times New Roman" w:hAnsi="Times New Roman" w:eastAsia="Times New Roman" w:cs="Times New Roman"/>
          <w:sz w:val="20"/>
          <w:szCs w:val="20"/>
        </w:rPr>
        <w:t xml:space="preserve"> enforce control- and data-flow separation through a capability-based interpreter, giving strong guarantees at the cost of re-architecting the agent. MELON </w:t>
      </w:r>
      <w:r>
        <w:rPr>
          <w:rFonts w:ascii="Times New Roman" w:hAnsi="Times New Roman" w:eastAsia="Times New Roman" w:cs="Times New Roman"/>
          <w:sz w:val="20"/>
          <w:szCs w:val="20"/>
        </w:rPr>
        <w:t>[20]</w:t>
      </w:r>
      <w:r>
        <w:rPr>
          <w:rFonts w:ascii="Times New Roman" w:hAnsi="Times New Roman" w:eastAsia="Times New Roman" w:cs="Times New Roman"/>
          <w:sz w:val="20"/>
          <w:szCs w:val="20"/>
        </w:rPr>
        <w:t xml:space="preserve"> detects attacks behaviourally by re-executing the agent with the user prompt masked and comparing tool calls, which roughly doubles inference cost. Our monitor is complementary: it operates on the observable trace of a single run, requires no change to the agent or model and adds one lightweight classifier evaluation per tool call.</w:t>
      </w:r>
    </w:p>
    <w:p w14:paraId="00000025">
      <w:pPr>
        <w:pStyle w:val="Heading2"/>
        <w:keepNext/>
        <w:spacing w:after="40" w:before="100"/>
      </w:pPr>
      <w:r>
        <w:rPr>
          <w:rFonts w:ascii="Times New Roman" w:hAnsi="Times New Roman" w:eastAsia="Times New Roman" w:cs="Times New Roman"/>
          <w:i/>
          <w:iCs/>
          <w:color w:val="000000"/>
          <w:sz w:val="20"/>
          <w:szCs w:val="20"/>
        </w:rPr>
        <w:t>D. Behavioural Intrusion Detection</w:t>
      </w:r>
    </w:p>
    <w:p w14:paraId="00000026">
      <w:pPr>
        <w:spacing w:after="0" w:line="240"/>
        <w:ind w:firstLine="202"/>
        <w:jc w:val="both"/>
      </w:pPr>
      <w:r>
        <w:rPr>
          <w:rFonts w:ascii="Times New Roman" w:hAnsi="Times New Roman" w:eastAsia="Times New Roman" w:cs="Times New Roman"/>
          <w:sz w:val="20"/>
          <w:szCs w:val="20"/>
        </w:rPr>
        <w:t xml:space="preserve">Denning's intrusion-detection model </w:t>
      </w:r>
      <w:r>
        <w:rPr>
          <w:rFonts w:ascii="Times New Roman" w:hAnsi="Times New Roman" w:eastAsia="Times New Roman" w:cs="Times New Roman"/>
          <w:sz w:val="20"/>
          <w:szCs w:val="20"/>
        </w:rPr>
        <w:t>[9]</w:t>
      </w:r>
      <w:r>
        <w:rPr>
          <w:rFonts w:ascii="Times New Roman" w:hAnsi="Times New Roman" w:eastAsia="Times New Roman" w:cs="Times New Roman"/>
          <w:sz w:val="20"/>
          <w:szCs w:val="20"/>
        </w:rPr>
        <w:t xml:space="preserve"> and the system-call monitoring of Forrest et al. </w:t>
      </w:r>
      <w:r>
        <w:rPr>
          <w:rFonts w:ascii="Times New Roman" w:hAnsi="Times New Roman" w:eastAsia="Times New Roman" w:cs="Times New Roman"/>
          <w:sz w:val="20"/>
          <w:szCs w:val="20"/>
        </w:rPr>
        <w:t>[10]</w:t>
      </w:r>
      <w:r>
        <w:rPr>
          <w:rFonts w:ascii="Times New Roman" w:hAnsi="Times New Roman" w:eastAsia="Times New Roman" w:cs="Times New Roman"/>
          <w:sz w:val="20"/>
          <w:szCs w:val="20"/>
        </w:rPr>
        <w:t xml:space="preserve"> established that deviations from expected behaviour reveal compromise even when the attack payload itself is unknown. Unsupervised anomaly detectors such as Isolation Forest </w:t>
      </w:r>
      <w:r>
        <w:rPr>
          <w:rFonts w:ascii="Times New Roman" w:hAnsi="Times New Roman" w:eastAsia="Times New Roman" w:cs="Times New Roman"/>
          <w:sz w:val="20"/>
          <w:szCs w:val="20"/>
        </w:rPr>
        <w:t>[21]</w:t>
      </w:r>
      <w:r>
        <w:rPr>
          <w:rFonts w:ascii="Times New Roman" w:hAnsi="Times New Roman" w:eastAsia="Times New Roman" w:cs="Times New Roman"/>
          <w:sz w:val="20"/>
          <w:szCs w:val="20"/>
        </w:rPr>
        <w:t xml:space="preserve"> are a common instantiation, which we include as a baseline.</w:t>
      </w:r>
    </w:p>
    <w:p w14:paraId="00000027">
      <w:pPr>
        <w:pStyle w:val="Heading1"/>
        <w:keepNext/>
        <w:spacing w:after="80" w:before="200"/>
        <w:jc w:val="center"/>
      </w:pPr>
      <w:r>
        <w:rPr>
          <w:rFonts w:ascii="Times New Roman" w:hAnsi="Times New Roman" w:eastAsia="Times New Roman" w:cs="Times New Roman"/>
          <w:smallCaps/>
          <w:color w:val="000000"/>
          <w:sz w:val="20"/>
          <w:szCs w:val="20"/>
        </w:rPr>
        <w:t>III. Threat Model and Problem Formulation</w:t>
      </w:r>
    </w:p>
    <w:p w14:paraId="00000028">
      <w:pPr>
        <w:pStyle w:val="Heading2"/>
        <w:keepNext/>
        <w:spacing w:after="40" w:before="100"/>
      </w:pPr>
      <w:r>
        <w:rPr>
          <w:rFonts w:ascii="Times New Roman" w:hAnsi="Times New Roman" w:eastAsia="Times New Roman" w:cs="Times New Roman"/>
          <w:i/>
          <w:iCs/>
          <w:color w:val="000000"/>
          <w:sz w:val="20"/>
          <w:szCs w:val="20"/>
        </w:rPr>
        <w:t>A. Agent Model</w:t>
      </w:r>
    </w:p>
    <w:p w14:paraId="00000029">
      <w:pPr>
        <w:spacing w:after="0" w:line="240"/>
        <w:ind w:firstLine="202"/>
        <w:jc w:val="both"/>
      </w:pPr>
      <w:r>
        <w:rPr>
          <w:rFonts w:ascii="Times New Roman" w:hAnsi="Times New Roman" w:eastAsia="Times New Roman" w:cs="Times New Roman"/>
          <w:sz w:val="20"/>
          <w:szCs w:val="20"/>
        </w:rPr>
        <w:t xml:space="preserve">A user issues a goal </w:t>
      </w:r>
      <w:r>
        <w:rPr>
          <w:rFonts w:ascii="Times New Roman" w:hAnsi="Times New Roman" w:eastAsia="Times New Roman" w:cs="Times New Roman"/>
          <w:i/>
          <w:iCs/>
          <w:sz w:val="20"/>
          <w:szCs w:val="20"/>
        </w:rPr>
        <w:t>g</w:t>
      </w:r>
      <w:r>
        <w:rPr>
          <w:rFonts w:ascii="Times New Roman" w:hAnsi="Times New Roman" w:eastAsia="Times New Roman" w:cs="Times New Roman"/>
          <w:sz w:val="20"/>
          <w:szCs w:val="20"/>
        </w:rPr>
        <w:t xml:space="preserve">. At step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the agent, given the history </w:t>
      </w:r>
      <w:r>
        <w:rPr>
          <w:rFonts w:ascii="Times New Roman" w:hAnsi="Times New Roman" w:eastAsia="Times New Roman" w:cs="Times New Roman"/>
          <w:i/>
          <w:iCs/>
          <w:sz w:val="20"/>
          <w:szCs w:val="20"/>
        </w:rPr>
        <w:t>H</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 (</w:t>
      </w:r>
      <w:r>
        <w:rPr>
          <w:rFonts w:ascii="Times New Roman" w:hAnsi="Times New Roman" w:eastAsia="Times New Roman" w:cs="Times New Roman"/>
          <w:i/>
          <w:iCs/>
          <w:sz w:val="20"/>
          <w:szCs w:val="20"/>
        </w:rPr>
        <w:t>g</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o</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 </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t−1</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o</w:t>
      </w:r>
      <w:r>
        <w:rPr>
          <w:rFonts w:ascii="Times New Roman" w:hAnsi="Times New Roman" w:eastAsia="Times New Roman" w:cs="Times New Roman"/>
          <w:sz w:val="20"/>
          <w:szCs w:val="20"/>
          <w:vertAlign w:val="subscript"/>
        </w:rPr>
        <w:t>t−1</w:t>
      </w:r>
      <w:r>
        <w:rPr>
          <w:rFonts w:ascii="Times New Roman" w:hAnsi="Times New Roman" w:eastAsia="Times New Roman" w:cs="Times New Roman"/>
          <w:sz w:val="20"/>
          <w:szCs w:val="20"/>
        </w:rPr>
        <w:t xml:space="preserve">), proposes a tool call </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 (τ</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θ</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consisting of a tool τ</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and arguments θ</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Executing it returns an observation </w:t>
      </w:r>
      <w:r>
        <w:rPr>
          <w:rFonts w:ascii="Times New Roman" w:hAnsi="Times New Roman" w:eastAsia="Times New Roman" w:cs="Times New Roman"/>
          <w:i/>
          <w:iCs/>
          <w:sz w:val="20"/>
          <w:szCs w:val="20"/>
        </w:rPr>
        <w:t>o</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w:t>
      </w:r>
    </w:p>
    <w:p w14:paraId="0000002A">
      <w:pPr>
        <w:pStyle w:val="Heading2"/>
        <w:keepNext/>
        <w:spacing w:after="40" w:before="100"/>
      </w:pPr>
      <w:r>
        <w:rPr>
          <w:rFonts w:ascii="Times New Roman" w:hAnsi="Times New Roman" w:eastAsia="Times New Roman" w:cs="Times New Roman"/>
          <w:i/>
          <w:iCs/>
          <w:color w:val="000000"/>
          <w:sz w:val="20"/>
          <w:szCs w:val="20"/>
        </w:rPr>
        <w:t>B. Adversary</w:t>
      </w:r>
    </w:p>
    <w:p w14:paraId="0000002B">
      <w:pPr>
        <w:spacing w:after="0" w:line="240"/>
        <w:ind w:firstLine="202"/>
        <w:jc w:val="both"/>
      </w:pPr>
      <w:r>
        <w:rPr>
          <w:rFonts w:ascii="Times New Roman" w:hAnsi="Times New Roman" w:eastAsia="Times New Roman" w:cs="Times New Roman"/>
          <w:sz w:val="20"/>
          <w:szCs w:val="20"/>
        </w:rPr>
        <w:t xml:space="preserve">The attacker controls part of at least one observation (for example a review, an e-mail or a web page) but not </w:t>
      </w:r>
      <w:r>
        <w:rPr>
          <w:rFonts w:ascii="Times New Roman" w:hAnsi="Times New Roman" w:eastAsia="Times New Roman" w:cs="Times New Roman"/>
          <w:i/>
          <w:iCs/>
          <w:sz w:val="20"/>
          <w:szCs w:val="20"/>
        </w:rPr>
        <w:t>g</w:t>
      </w:r>
      <w:r>
        <w:rPr>
          <w:rFonts w:ascii="Times New Roman" w:hAnsi="Times New Roman" w:eastAsia="Times New Roman" w:cs="Times New Roman"/>
          <w:sz w:val="20"/>
          <w:szCs w:val="20"/>
        </w:rPr>
        <w:t xml:space="preserve">, the system prompt, the model weights or the tools. The attacker aims to make the agent execute attacker-chosen calls, either </w:t>
      </w:r>
      <w:r>
        <w:rPr>
          <w:rFonts w:ascii="Times New Roman" w:hAnsi="Times New Roman" w:eastAsia="Times New Roman" w:cs="Times New Roman"/>
          <w:i/>
          <w:iCs/>
          <w:sz w:val="20"/>
          <w:szCs w:val="20"/>
        </w:rPr>
        <w:t>direct harm</w:t>
      </w:r>
      <w:r>
        <w:rPr>
          <w:rFonts w:ascii="Times New Roman" w:hAnsi="Times New Roman" w:eastAsia="Times New Roman" w:cs="Times New Roman"/>
          <w:sz w:val="20"/>
          <w:szCs w:val="20"/>
        </w:rPr>
        <w:t xml:space="preserve"> (financial transfer, physical access, deletion) or </w:t>
      </w:r>
      <w:r>
        <w:rPr>
          <w:rFonts w:ascii="Times New Roman" w:hAnsi="Times New Roman" w:eastAsia="Times New Roman" w:cs="Times New Roman"/>
          <w:i/>
          <w:iCs/>
          <w:sz w:val="20"/>
          <w:szCs w:val="20"/>
        </w:rPr>
        <w:t>data stealing</w:t>
      </w:r>
      <w:r>
        <w:rPr>
          <w:rFonts w:ascii="Times New Roman" w:hAnsi="Times New Roman" w:eastAsia="Times New Roman" w:cs="Times New Roman"/>
          <w:sz w:val="20"/>
          <w:szCs w:val="20"/>
        </w:rPr>
        <w:t xml:space="preserve"> (reading private data and sending it to an attacker-controlled destination) </w:t>
      </w:r>
      <w:r>
        <w:rPr>
          <w:rFonts w:ascii="Times New Roman" w:hAnsi="Times New Roman" w:eastAsia="Times New Roman" w:cs="Times New Roman"/>
          <w:sz w:val="20"/>
          <w:szCs w:val="20"/>
        </w:rPr>
        <w:t>[5]</w:t>
      </w:r>
      <w:r>
        <w:rPr>
          <w:rFonts w:ascii="Times New Roman" w:hAnsi="Times New Roman" w:eastAsia="Times New Roman" w:cs="Times New Roman"/>
          <w:sz w:val="20"/>
          <w:szCs w:val="20"/>
        </w:rPr>
        <w:t>.</w:t>
      </w:r>
    </w:p>
    <w:p w14:paraId="0000002C">
      <w:pPr>
        <w:pStyle w:val="Heading2"/>
        <w:keepNext/>
        <w:spacing w:after="40" w:before="100"/>
      </w:pPr>
      <w:r>
        <w:rPr>
          <w:rFonts w:ascii="Times New Roman" w:hAnsi="Times New Roman" w:eastAsia="Times New Roman" w:cs="Times New Roman"/>
          <w:i/>
          <w:iCs/>
          <w:color w:val="000000"/>
          <w:sz w:val="20"/>
          <w:szCs w:val="20"/>
        </w:rPr>
        <w:t>C. Defender and Objectives</w:t>
      </w:r>
    </w:p>
    <w:p w14:paraId="0000002D">
      <w:pPr>
        <w:spacing w:after="0" w:line="240"/>
        <w:ind w:firstLine="202"/>
        <w:jc w:val="both"/>
      </w:pPr>
      <w:r>
        <w:rPr>
          <w:rFonts w:ascii="Times New Roman" w:hAnsi="Times New Roman" w:eastAsia="Times New Roman" w:cs="Times New Roman"/>
          <w:sz w:val="20"/>
          <w:szCs w:val="20"/>
        </w:rPr>
        <w:t xml:space="preserve">A runtime monitor sits between the agent and its tools. Before </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executes it estimates </w:t>
      </w:r>
      <w:r>
        <w:rPr>
          <w:rFonts w:ascii="Times New Roman" w:hAnsi="Times New Roman" w:eastAsia="Times New Roman" w:cs="Times New Roman"/>
          <w:i/>
          <w:iCs/>
          <w:sz w:val="20"/>
          <w:szCs w:val="20"/>
        </w:rPr>
        <w:t>P</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is injection-induced | </w:t>
      </w:r>
      <w:r>
        <w:rPr>
          <w:rFonts w:ascii="Times New Roman" w:hAnsi="Times New Roman" w:eastAsia="Times New Roman" w:cs="Times New Roman"/>
          <w:i/>
          <w:iCs/>
          <w:sz w:val="20"/>
          <w:szCs w:val="20"/>
        </w:rPr>
        <w:t>g</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H</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and may block the call; after execution it may sanitise </w:t>
      </w:r>
      <w:r>
        <w:rPr>
          <w:rFonts w:ascii="Times New Roman" w:hAnsi="Times New Roman" w:eastAsia="Times New Roman" w:cs="Times New Roman"/>
          <w:i/>
          <w:iCs/>
          <w:sz w:val="20"/>
          <w:szCs w:val="20"/>
        </w:rPr>
        <w:t>o</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before the LLM reads it. The defender has no access to model internals. Let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vertAlign w:val="subscript"/>
        </w:rPr>
        <w:t>h</w:t>
      </w:r>
      <w:r>
        <w:rPr>
          <w:rFonts w:ascii="Times New Roman" w:hAnsi="Times New Roman" w:eastAsia="Times New Roman" w:cs="Times New Roman"/>
          <w:sz w:val="20"/>
          <w:szCs w:val="20"/>
        </w:rPr>
        <w:t xml:space="preserve"> be the set of hijacked trajectories. Security is measured by the attack success rate</w:t>
      </w:r>
    </w:p>
    <w:p w14:paraId="0000002E">
      <w:pPr>
        <w:tabs>
          <w:tab w:val="center" w:pos="2520"/>
          <w:tab w:val="right" w:pos="5040"/>
        </w:tabs>
        <w:spacing w:after="60" w:before="60"/>
      </w:pPr>
      <w:r>
        <w:rPr>
          <w:rFonts w:ascii="Times New Roman" w:hAnsi="Times New Roman" w:eastAsia="Times New Roman" w:cs="Times New Roman"/>
        </w:rPr>
        <w:t xml:space="preserve">	</w:t>
      </w:r>
      <m:oMath>
        <m:func>
          <m:funcPr/>
          <m:fName>
            <m:r>
              <m:rPr>
                <m:sty m:val="p"/>
              </m:rPr>
              <m:t>ASR</m:t>
            </m:r>
          </m:fName>
          <m:e>
            <m:r>
              <m:t>=</m:t>
            </m:r>
            <m:f>
              <m:num>
                <m:r>
                  <m:t>1</m:t>
                </m:r>
              </m:num>
              <m:den>
                <m:r>
                  <m:t>|</m:t>
                </m:r>
                <m:sSub>
                  <m:sSubPr/>
                  <m:e>
                    <m:r>
                      <m:t>T</m:t>
                    </m:r>
                  </m:e>
                  <m:sub>
                    <m:r>
                      <m:t>h</m:t>
                    </m:r>
                  </m:sub>
                </m:sSub>
                <m:r>
                  <m:t>|</m:t>
                </m:r>
              </m:den>
            </m:f>
            <m:nary>
              <m:naryPr>
                <m:chr m:val="∑"/>
                <m:limLoc m:val="undOvr"/>
                <m:supHide m:val="1"/>
              </m:naryPr>
              <m:sub>
                <m:r>
                  <m:t>ω∈</m:t>
                </m:r>
                <m:sSub>
                  <m:sSubPr/>
                  <m:e>
                    <m:r>
                      <m:t>T</m:t>
                    </m:r>
                  </m:e>
                  <m:sub>
                    <m:r>
                      <m:t>h</m:t>
                    </m:r>
                  </m:sub>
                </m:sSub>
              </m:sub>
              <m:sup/>
              <m:e>
                <m:r>
                  <m:t>s(ω)</m:t>
                </m:r>
              </m:e>
            </m:nary>
          </m:e>
        </m:func>
      </m:oMath>
      <w:r>
        <w:rPr>
          <w:rFonts w:ascii="Times New Roman" w:hAnsi="Times New Roman" w:eastAsia="Times New Roman" w:cs="Times New Roman"/>
          <w:sz w:val="20"/>
          <w:szCs w:val="20"/>
        </w:rPr>
        <w:t xml:space="preserve">	(1)</w:t>
      </w:r>
    </w:p>
    <w:p w14:paraId="0000002F">
      <w:pPr>
        <w:spacing w:after="0" w:line="240"/>
        <w:ind w:firstLine="0"/>
        <w:jc w:val="both"/>
      </w:pPr>
      <w:r>
        <w:rPr>
          <w:rFonts w:ascii="Times New Roman" w:hAnsi="Times New Roman" w:eastAsia="Times New Roman" w:cs="Times New Roman"/>
          <w:sz w:val="20"/>
          <w:szCs w:val="20"/>
        </w:rPr>
        <w:t xml:space="preserve">where </w:t>
      </w:r>
      <w:r>
        <w:rPr>
          <w:rFonts w:ascii="Times New Roman" w:hAnsi="Times New Roman" w:eastAsia="Times New Roman" w:cs="Times New Roman"/>
          <w:i/>
          <w:iCs/>
          <w:sz w:val="20"/>
          <w:szCs w:val="20"/>
        </w:rPr>
        <w:t>s</w:t>
      </w:r>
      <w:r>
        <w:rPr>
          <w:rFonts w:ascii="Times New Roman" w:hAnsi="Times New Roman" w:eastAsia="Times New Roman" w:cs="Times New Roman"/>
          <w:sz w:val="20"/>
          <w:szCs w:val="20"/>
        </w:rPr>
        <w:t>(ω) = 1 if all attacker calls in trajectory ω execute and 0 otherwise. Utility is the fraction of benign trajectories that complete with no legitimate call blocked and no clean content removed.</w:t>
      </w:r>
    </w:p>
    <w:p w14:paraId="00000030">
      <w:pPr>
        <w:pStyle w:val="Heading1"/>
        <w:keepNext/>
        <w:spacing w:after="80" w:before="200"/>
        <w:jc w:val="center"/>
      </w:pPr>
      <w:r>
        <w:rPr>
          <w:rFonts w:ascii="Times New Roman" w:hAnsi="Times New Roman" w:eastAsia="Times New Roman" w:cs="Times New Roman"/>
          <w:smallCaps/>
          <w:color w:val="000000"/>
          <w:sz w:val="20"/>
          <w:szCs w:val="20"/>
        </w:rPr>
        <w:t>IV. Proposed System</w:t>
      </w:r>
    </w:p>
    <w:p w14:paraId="00000031">
      <w:pPr>
        <w:pStyle w:val="Heading2"/>
        <w:keepNext/>
        <w:spacing w:after="40" w:before="100"/>
      </w:pPr>
      <w:r>
        <w:rPr>
          <w:rFonts w:ascii="Times New Roman" w:hAnsi="Times New Roman" w:eastAsia="Times New Roman" w:cs="Times New Roman"/>
          <w:i/>
          <w:iCs/>
          <w:color w:val="000000"/>
          <w:sz w:val="20"/>
          <w:szCs w:val="20"/>
        </w:rPr>
        <w:t>A. Architecture</w:t>
      </w:r>
    </w:p>
    <w:p w14:paraId="00000032">
      <w:pPr>
        <w:spacing w:after="0" w:line="240"/>
        <w:ind w:firstLine="202"/>
        <w:jc w:val="both"/>
      </w:pPr>
      <w:r>
        <w:rPr>
          <w:rFonts w:ascii="Times New Roman" w:hAnsi="Times New Roman" w:eastAsia="Times New Roman" w:cs="Times New Roman"/>
          <w:sz w:val="20"/>
          <w:szCs w:val="20"/>
        </w:rPr>
        <w:t xml:space="preserve">Fig. 1 shows the guard. It is exposed as a wrapper: each tool function </w:t>
      </w:r>
      <w:r>
        <w:rPr>
          <w:rFonts w:ascii="Times New Roman" w:hAnsi="Times New Roman" w:eastAsia="Times New Roman" w:cs="Times New Roman"/>
          <w:i/>
          <w:iCs/>
          <w:sz w:val="20"/>
          <w:szCs w:val="20"/>
        </w:rPr>
        <w:t>f</w:t>
      </w:r>
      <w:r>
        <w:rPr>
          <w:rFonts w:ascii="Times New Roman" w:hAnsi="Times New Roman" w:eastAsia="Times New Roman" w:cs="Times New Roman"/>
          <w:sz w:val="20"/>
          <w:szCs w:val="20"/>
        </w:rPr>
        <w:t xml:space="preserve"> is replaced by </w:t>
      </w:r>
      <w:r>
        <w:rPr>
          <w:rFonts w:ascii="Courier New" w:hAnsi="Courier New" w:eastAsia="Courier New" w:cs="Courier New"/>
          <w:sz w:val="18"/>
          <w:szCs w:val="18"/>
        </w:rPr>
        <w:t>guard.wrap(name, f)</w:t>
      </w:r>
      <w:r>
        <w:rPr>
          <w:rFonts w:ascii="Times New Roman" w:hAnsi="Times New Roman" w:eastAsia="Times New Roman" w:cs="Times New Roman"/>
          <w:sz w:val="20"/>
          <w:szCs w:val="20"/>
        </w:rPr>
        <w:t>, so every call and every result passes through the guard regardless of the agent framework, and the LLM itself is unchanged.</w:t>
      </w:r>
    </w:p>
    <w:p w14:paraId="00000033">
      <w:pPr>
        <w:keepNext/>
        <w:spacing w:after="40" w:before="120"/>
        <w:jc w:val="center"/>
      </w:pPr>
      <w:r>
        <w:drawing>
          <wp:inline distT="0" distB="0" distL="0" distR="0">
            <wp:extent cx="3019425" cy="1990725"/>
            <wp:effectExtent t="0" r="0" b="0" l="0"/>
            <wp:docPr id="1" name="fig1_architecture.png" descr="Architecture of the runtime guard. Layer 1 sanitises untrusted tool outputs *o*_{t}; Layer 2 scores every proposed call *a*_{t} against the user goal *g* before execution; Layer 3 applies the prevention policy and raises security alert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3019425" cy="1990725"/>
                    </a:xfrm>
                    <a:prstGeom prst="rect">
                      <a:avLst/>
                    </a:prstGeom>
                  </pic:spPr>
                </pic:pic>
              </a:graphicData>
            </a:graphic>
          </wp:inline>
        </w:drawing>
      </w:r>
    </w:p>
    <w:p w14:paraId="00000034">
      <w:pPr>
        <w:spacing w:after="140"/>
        <w:jc w:val="both"/>
      </w:pPr>
      <w:r>
        <w:rPr>
          <w:rFonts w:ascii="Times New Roman" w:hAnsi="Times New Roman" w:eastAsia="Times New Roman" w:cs="Times New Roman"/>
          <w:sz w:val="16"/>
          <w:szCs w:val="16"/>
        </w:rPr>
        <w:t xml:space="preserve">Fig. 1. </w:t>
      </w:r>
      <w:r>
        <w:rPr>
          <w:rFonts w:ascii="Times New Roman" w:hAnsi="Times New Roman" w:eastAsia="Times New Roman" w:cs="Times New Roman"/>
          <w:sz w:val="16"/>
          <w:szCs w:val="16"/>
        </w:rPr>
        <w:t xml:space="preserve">Architecture of the runtime guard. Layer 1 sanitises untrusted tool outputs </w:t>
      </w:r>
      <w:r>
        <w:rPr>
          <w:rFonts w:ascii="Times New Roman" w:hAnsi="Times New Roman" w:eastAsia="Times New Roman" w:cs="Times New Roman"/>
          <w:i/>
          <w:iCs/>
          <w:sz w:val="16"/>
          <w:szCs w:val="16"/>
        </w:rPr>
        <w:t>o</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rPr>
        <w:t xml:space="preserve">; Layer 2 scores every proposed call </w:t>
      </w:r>
      <w:r>
        <w:rPr>
          <w:rFonts w:ascii="Times New Roman" w:hAnsi="Times New Roman" w:eastAsia="Times New Roman" w:cs="Times New Roman"/>
          <w:i/>
          <w:iCs/>
          <w:sz w:val="16"/>
          <w:szCs w:val="16"/>
        </w:rPr>
        <w:t>a</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rPr>
        <w:t xml:space="preserve"> against the user goal </w:t>
      </w:r>
      <w:r>
        <w:rPr>
          <w:rFonts w:ascii="Times New Roman" w:hAnsi="Times New Roman" w:eastAsia="Times New Roman" w:cs="Times New Roman"/>
          <w:i/>
          <w:iCs/>
          <w:sz w:val="16"/>
          <w:szCs w:val="16"/>
        </w:rPr>
        <w:t>g</w:t>
      </w:r>
      <w:r>
        <w:rPr>
          <w:rFonts w:ascii="Times New Roman" w:hAnsi="Times New Roman" w:eastAsia="Times New Roman" w:cs="Times New Roman"/>
          <w:sz w:val="16"/>
          <w:szCs w:val="16"/>
        </w:rPr>
        <w:t xml:space="preserve"> before execution; Layer 3 applies the prevention policy and raises security alerts.</w:t>
      </w:r>
    </w:p>
    <w:p w14:paraId="00000035">
      <w:pPr>
        <w:pStyle w:val="Heading2"/>
        <w:keepNext/>
        <w:spacing w:after="40" w:before="100"/>
      </w:pPr>
      <w:r>
        <w:rPr>
          <w:rFonts w:ascii="Times New Roman" w:hAnsi="Times New Roman" w:eastAsia="Times New Roman" w:cs="Times New Roman"/>
          <w:i/>
          <w:iCs/>
          <w:color w:val="000000"/>
          <w:sz w:val="20"/>
          <w:szCs w:val="20"/>
        </w:rPr>
        <w:t>B. Layer 1: Content Detection</w:t>
      </w:r>
    </w:p>
    <w:p w14:paraId="00000036">
      <w:pPr>
        <w:spacing w:after="0" w:line="240"/>
        <w:ind w:firstLine="202"/>
        <w:jc w:val="both"/>
      </w:pPr>
      <w:r>
        <w:rPr>
          <w:rFonts w:ascii="Times New Roman" w:hAnsi="Times New Roman" w:eastAsia="Times New Roman" w:cs="Times New Roman"/>
          <w:sz w:val="20"/>
          <w:szCs w:val="20"/>
        </w:rPr>
        <w:t xml:space="preserve">Tool outputs are often structured (JSON or dictionaries). We parse them and extract string leaves; unstructured text is split at sentence and paragraph boundaries. Only segments with at least four words are scored, because shorter fields (identifiers, status flags) cannot carry an instruction and caused false alarms in preliminary tests. Each segment </w:t>
      </w:r>
      <w:r>
        <w:rPr>
          <w:rFonts w:ascii="Times New Roman" w:hAnsi="Times New Roman" w:eastAsia="Times New Roman" w:cs="Times New Roman"/>
          <w:i/>
          <w:iCs/>
          <w:sz w:val="20"/>
          <w:szCs w:val="20"/>
        </w:rPr>
        <w:t>x</w:t>
      </w:r>
      <w:r>
        <w:rPr>
          <w:rFonts w:ascii="Times New Roman" w:hAnsi="Times New Roman" w:eastAsia="Times New Roman" w:cs="Times New Roman"/>
          <w:sz w:val="20"/>
          <w:szCs w:val="20"/>
        </w:rPr>
        <w:t xml:space="preserve"> is scored by </w:t>
      </w:r>
      <w:r>
        <w:rPr>
          <w:rFonts w:ascii="Times New Roman" w:hAnsi="Times New Roman" w:eastAsia="Times New Roman" w:cs="Times New Roman"/>
          <w:i/>
          <w:iCs/>
          <w:sz w:val="20"/>
          <w:szCs w:val="20"/>
        </w:rPr>
        <w:t>K</w:t>
      </w:r>
      <w:r>
        <w:rPr>
          <w:rFonts w:ascii="Times New Roman" w:hAnsi="Times New Roman" w:eastAsia="Times New Roman" w:cs="Times New Roman"/>
          <w:sz w:val="20"/>
          <w:szCs w:val="20"/>
        </w:rPr>
        <w:t xml:space="preserve"> = 4 detectors: (i) ProtectAI DeBERTa-v3-base v2 </w:t>
      </w:r>
      <w:r>
        <w:rPr>
          <w:rFonts w:ascii="Times New Roman" w:hAnsi="Times New Roman" w:eastAsia="Times New Roman" w:cs="Times New Roman"/>
          <w:sz w:val="20"/>
          <w:szCs w:val="20"/>
        </w:rPr>
        <w:t>[7], [15]</w:t>
      </w:r>
      <w:r>
        <w:rPr>
          <w:rFonts w:ascii="Times New Roman" w:hAnsi="Times New Roman" w:eastAsia="Times New Roman" w:cs="Times New Roman"/>
          <w:sz w:val="20"/>
          <w:szCs w:val="20"/>
        </w:rPr>
        <w:t xml:space="preserve"> and (ii) Wolf Defender, a ModernBERT-architecture encoder </w:t>
      </w:r>
      <w:r>
        <w:rPr>
          <w:rFonts w:ascii="Times New Roman" w:hAnsi="Times New Roman" w:eastAsia="Times New Roman" w:cs="Times New Roman"/>
          <w:sz w:val="20"/>
          <w:szCs w:val="20"/>
        </w:rPr>
        <w:t>[22], [23]</w:t>
      </w:r>
      <w:r>
        <w:rPr>
          <w:rFonts w:ascii="Times New Roman" w:hAnsi="Times New Roman" w:eastAsia="Times New Roman" w:cs="Times New Roman"/>
          <w:sz w:val="20"/>
          <w:szCs w:val="20"/>
        </w:rPr>
        <w:t xml:space="preserve">, both obtained from Kaggle Models; (iii) word (1–2-gram) and character (2–5-gram) TF-IDF features with logistic regression; and (iv) all-MiniLM-L6-v2 sentence embeddings </w:t>
      </w:r>
      <w:r>
        <w:rPr>
          <w:rFonts w:ascii="Times New Roman" w:hAnsi="Times New Roman" w:eastAsia="Times New Roman" w:cs="Times New Roman"/>
          <w:sz w:val="20"/>
          <w:szCs w:val="20"/>
        </w:rPr>
        <w:t>[24], [25]</w:t>
      </w:r>
      <w:r>
        <w:rPr>
          <w:rFonts w:ascii="Times New Roman" w:hAnsi="Times New Roman" w:eastAsia="Times New Roman" w:cs="Times New Roman"/>
          <w:sz w:val="20"/>
          <w:szCs w:val="20"/>
        </w:rPr>
        <w:t xml:space="preserve"> concatenated with 20 lexical cues (override phrases, role-play markers, fake delimiters, exfiltration verbs and similar) and classified with XGBoost </w:t>
      </w:r>
      <w:r>
        <w:rPr>
          <w:rFonts w:ascii="Times New Roman" w:hAnsi="Times New Roman" w:eastAsia="Times New Roman" w:cs="Times New Roman"/>
          <w:sz w:val="20"/>
          <w:szCs w:val="20"/>
        </w:rPr>
        <w:t>[26]</w:t>
      </w:r>
      <w:r>
        <w:rPr>
          <w:rFonts w:ascii="Times New Roman" w:hAnsi="Times New Roman" w:eastAsia="Times New Roman" w:cs="Times New Roman"/>
          <w:sz w:val="20"/>
          <w:szCs w:val="20"/>
        </w:rPr>
        <w:t xml:space="preserve">. For multi-class detectors the injection probability is one minus the probability of the benign labels. Scores are combined by stacked generalisation </w:t>
      </w:r>
      <w:r>
        <w:rPr>
          <w:rFonts w:ascii="Times New Roman" w:hAnsi="Times New Roman" w:eastAsia="Times New Roman" w:cs="Times New Roman"/>
          <w:sz w:val="20"/>
          <w:szCs w:val="20"/>
        </w:rPr>
        <w:t>[27]</w:t>
      </w:r>
      <w:r>
        <w:rPr>
          <w:rFonts w:ascii="Times New Roman" w:hAnsi="Times New Roman" w:eastAsia="Times New Roman" w:cs="Times New Roman"/>
          <w:sz w:val="20"/>
          <w:szCs w:val="20"/>
        </w:rPr>
        <w:t>:</w:t>
      </w:r>
    </w:p>
    <w:p w14:paraId="00000037">
      <w:pPr>
        <w:tabs>
          <w:tab w:val="center" w:pos="2520"/>
          <w:tab w:val="right" w:pos="5040"/>
        </w:tabs>
        <w:spacing w:after="60" w:before="60"/>
      </w:pPr>
      <w:r>
        <w:rPr>
          <w:rFonts w:ascii="Times New Roman" w:hAnsi="Times New Roman" w:eastAsia="Times New Roman" w:cs="Times New Roman"/>
        </w:rPr>
        <w:t xml:space="preserve">	</w:t>
      </w:r>
      <m:oMath>
        <m:r>
          <m:t>ŝ(x)=σ</m:t>
        </m:r>
        <m:d>
          <m:dPr/>
          <m:e>
            <m:sSub>
              <m:sSubPr/>
              <m:e>
                <m:r>
                  <m:t>w</m:t>
                </m:r>
              </m:e>
              <m:sub>
                <m:r>
                  <m:t>0</m:t>
                </m:r>
              </m:sub>
            </m:sSub>
            <m:r>
              <m:t>+</m:t>
            </m:r>
            <m:nary>
              <m:naryPr>
                <m:chr m:val="∑"/>
                <m:limLoc m:val="undOvr"/>
              </m:naryPr>
              <m:sub>
                <m:r>
                  <m:t>k=1</m:t>
                </m:r>
              </m:sub>
              <m:sup>
                <m:r>
                  <m:t>K</m:t>
                </m:r>
              </m:sup>
              <m:e>
                <m:sSub>
                  <m:sSubPr/>
                  <m:e>
                    <m:r>
                      <m:t>w</m:t>
                    </m:r>
                  </m:e>
                  <m:sub>
                    <m:r>
                      <m:t>k</m:t>
                    </m:r>
                  </m:sub>
                </m:sSub>
                <m:func>
                  <m:funcPr/>
                  <m:fName>
                    <m:r>
                      <m:rPr>
                        <m:sty m:val="p"/>
                      </m:rPr>
                      <m:t>logit</m:t>
                    </m:r>
                  </m:fName>
                  <m:e>
                    <m:sSub>
                      <m:sSubPr/>
                      <m:e>
                        <m:r>
                          <m:t>p</m:t>
                        </m:r>
                      </m:e>
                      <m:sub>
                        <m:r>
                          <m:t>k</m:t>
                        </m:r>
                      </m:sub>
                    </m:sSub>
                    <m:r>
                      <m:t>(x)</m:t>
                    </m:r>
                  </m:e>
                </m:func>
              </m:e>
            </m:nary>
          </m:e>
        </m:d>
      </m:oMath>
      <w:r>
        <w:rPr>
          <w:rFonts w:ascii="Times New Roman" w:hAnsi="Times New Roman" w:eastAsia="Times New Roman" w:cs="Times New Roman"/>
          <w:sz w:val="20"/>
          <w:szCs w:val="20"/>
        </w:rPr>
        <w:t xml:space="preserve">	(2)</w:t>
      </w:r>
    </w:p>
    <w:p w14:paraId="00000038">
      <w:pPr>
        <w:spacing w:after="0" w:line="240"/>
        <w:ind w:firstLine="0"/>
        <w:jc w:val="both"/>
      </w:pPr>
      <w:r>
        <w:rPr>
          <w:rFonts w:ascii="Times New Roman" w:hAnsi="Times New Roman" w:eastAsia="Times New Roman" w:cs="Times New Roman"/>
          <w:sz w:val="20"/>
          <w:szCs w:val="20"/>
        </w:rPr>
        <w:t>where the weights are fitted by logistic regression on a held-out validation split. Segments whose score exceeds a threshold tuned for maximum validation F1 (0.408) are replaced by a quarantine marker before the agent sees them.</w:t>
      </w:r>
    </w:p>
    <w:p w14:paraId="00000039">
      <w:pPr>
        <w:keepNext/>
        <w:spacing w:after="0" w:before="160"/>
        <w:jc w:val="center"/>
      </w:pPr>
      <w:r>
        <w:rPr>
          <w:rFonts w:ascii="Times New Roman" w:hAnsi="Times New Roman" w:eastAsia="Times New Roman" w:cs="Times New Roman"/>
          <w:smallCaps/>
          <w:sz w:val="16"/>
          <w:szCs w:val="16"/>
        </w:rPr>
        <w:t>TABLE I</w:t>
      </w:r>
    </w:p>
    <w:p w14:paraId="0000003A">
      <w:pPr>
        <w:keepNext/>
        <w:spacing w:after="60"/>
        <w:jc w:val="center"/>
      </w:pPr>
      <w:r>
        <w:rPr>
          <w:rFonts w:ascii="Times New Roman" w:hAnsi="Times New Roman" w:eastAsia="Times New Roman" w:cs="Times New Roman"/>
          <w:smallCaps/>
          <w:sz w:val="16"/>
          <w:szCs w:val="16"/>
        </w:rPr>
        <w:t>Behavioural Features of a Proposed Tool Call</w:t>
      </w:r>
    </w:p>
    <w:tbl>
      <w:tblPr>
        <w:tblW w:w="5040" w:type="dxa"/>
        <w:jc w:val="center"/>
        <w:tblBorders>
          <w:top w:val="single" w:color="000000" w:sz="6"/>
          <w:left w:val="nil" w:color="FFFFFF" w:sz="0"/>
          <w:bottom w:val="single" w:color="000000" w:sz="6"/>
          <w:right w:val="nil" w:color="FFFFFF" w:sz="0"/>
          <w:insideH w:val="nil" w:color="FFFFFF" w:sz="0"/>
          <w:insideV w:val="nil" w:color="FFFFFF" w:sz="0"/>
        </w:tblBorders>
      </w:tblPr>
      <w:tblGrid>
        <w:gridCol w:w="880"/>
        <w:gridCol w:w="1540"/>
        <w:gridCol w:w="2620"/>
      </w:tblGrid>
      <w:tr w14:paraId="0000003B">
        <w:trPr>
          <w:cantSplit/>
          <w:hidden w:val="0"/>
          <w:tblHeader/>
        </w:trPr>
        <w:tc>
          <w:tcPr>
            <w:tcW w:w="88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3C">
            <w:pPr>
              <w:keepNext/>
              <w:jc w:val="left"/>
            </w:pPr>
            <w:r>
              <w:rPr>
                <w:rFonts w:ascii="Times New Roman" w:hAnsi="Times New Roman" w:eastAsia="Times New Roman" w:cs="Times New Roman"/>
                <w:b/>
                <w:bCs/>
                <w:sz w:val="15"/>
                <w:szCs w:val="15"/>
              </w:rPr>
              <w:t>Group</w:t>
            </w:r>
          </w:p>
        </w:tc>
        <w:tc>
          <w:tcPr>
            <w:tcW w:w="154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3D">
            <w:pPr>
              <w:keepNext/>
              <w:jc w:val="left"/>
            </w:pPr>
            <w:r>
              <w:rPr>
                <w:rFonts w:ascii="Times New Roman" w:hAnsi="Times New Roman" w:eastAsia="Times New Roman" w:cs="Times New Roman"/>
                <w:b/>
                <w:bCs/>
                <w:sz w:val="15"/>
                <w:szCs w:val="15"/>
              </w:rPr>
              <w:t>Feature</w:t>
            </w:r>
          </w:p>
        </w:tc>
        <w:tc>
          <w:tcPr>
            <w:tcW w:w="262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3E">
            <w:pPr>
              <w:keepNext/>
              <w:jc w:val="left"/>
            </w:pPr>
            <w:r>
              <w:rPr>
                <w:rFonts w:ascii="Times New Roman" w:hAnsi="Times New Roman" w:eastAsia="Times New Roman" w:cs="Times New Roman"/>
                <w:b/>
                <w:bCs/>
                <w:sz w:val="15"/>
                <w:szCs w:val="15"/>
              </w:rPr>
              <w:t>Description</w:t>
            </w:r>
          </w:p>
        </w:tc>
      </w:tr>
      <w:tr w14:paraId="0000003F">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0">
            <w:pPr>
              <w:keepNext/>
              <w:jc w:val="left"/>
            </w:pPr>
            <w:r>
              <w:rPr>
                <w:rFonts w:ascii="Times New Roman" w:hAnsi="Times New Roman" w:eastAsia="Times New Roman" w:cs="Times New Roman"/>
                <w:b w:val="0"/>
                <w:bCs w:val="0"/>
                <w:sz w:val="15"/>
                <w:szCs w:val="15"/>
              </w:rPr>
              <w:t>Alignment</w:t>
            </w: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1">
            <w:pPr>
              <w:keepNext/>
              <w:jc w:val="left"/>
            </w:pPr>
            <w:r>
              <w:rPr>
                <w:rFonts w:ascii="Courier New" w:hAnsi="Courier New" w:eastAsia="Courier New" w:cs="Courier New"/>
                <w:b w:val="0"/>
                <w:bCs w:val="0"/>
                <w:sz w:val="14"/>
                <w:szCs w:val="14"/>
              </w:rPr>
              <w:t>goal_sim</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2">
            <w:pPr>
              <w:keepNext/>
              <w:jc w:val="left"/>
            </w:pPr>
            <w:r>
              <w:rPr>
                <w:rFonts w:ascii="Times New Roman" w:hAnsi="Times New Roman" w:eastAsia="Times New Roman" w:cs="Times New Roman"/>
                <w:b w:val="0"/>
                <w:bCs w:val="0"/>
                <w:sz w:val="15"/>
                <w:szCs w:val="15"/>
              </w:rPr>
              <w:t>similarity of call and user goal</w:t>
            </w:r>
          </w:p>
        </w:tc>
      </w:tr>
      <w:tr w14:paraId="00000043">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4">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5">
            <w:pPr>
              <w:keepNext/>
              <w:jc w:val="left"/>
            </w:pPr>
            <w:r>
              <w:rPr>
                <w:rFonts w:ascii="Courier New" w:hAnsi="Courier New" w:eastAsia="Courier New" w:cs="Courier New"/>
                <w:b w:val="0"/>
                <w:bCs w:val="0"/>
                <w:sz w:val="14"/>
                <w:szCs w:val="14"/>
              </w:rPr>
              <w:t>name_overlap</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6">
            <w:pPr>
              <w:keepNext/>
              <w:jc w:val="left"/>
            </w:pPr>
            <w:r>
              <w:rPr>
                <w:rFonts w:ascii="Times New Roman" w:hAnsi="Times New Roman" w:eastAsia="Times New Roman" w:cs="Times New Roman"/>
                <w:b w:val="0"/>
                <w:bCs w:val="0"/>
                <w:sz w:val="15"/>
                <w:szCs w:val="15"/>
              </w:rPr>
              <w:t>tool-name tokens found in the goal</w:t>
            </w:r>
          </w:p>
        </w:tc>
      </w:tr>
      <w:tr w14:paraId="00000047">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8">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9">
            <w:pPr>
              <w:keepNext/>
              <w:jc w:val="left"/>
            </w:pPr>
            <w:r>
              <w:rPr>
                <w:rFonts w:ascii="Courier New" w:hAnsi="Courier New" w:eastAsia="Courier New" w:cs="Courier New"/>
                <w:b w:val="0"/>
                <w:bCs w:val="0"/>
                <w:sz w:val="14"/>
                <w:szCs w:val="14"/>
              </w:rPr>
              <w:t>toolkit_in_goal</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A">
            <w:pPr>
              <w:keepNext/>
              <w:jc w:val="left"/>
            </w:pPr>
            <w:r>
              <w:rPr>
                <w:rFonts w:ascii="Times New Roman" w:hAnsi="Times New Roman" w:eastAsia="Times New Roman" w:cs="Times New Roman"/>
                <w:b w:val="0"/>
                <w:bCs w:val="0"/>
                <w:sz w:val="15"/>
                <w:szCs w:val="15"/>
              </w:rPr>
              <w:t>toolkit mentioned in the goal</w:t>
            </w:r>
          </w:p>
        </w:tc>
      </w:tr>
      <w:tr w14:paraId="0000004B">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C">
            <w:pPr>
              <w:keepNext/>
              <w:jc w:val="left"/>
            </w:pPr>
            <w:r>
              <w:rPr>
                <w:rFonts w:ascii="Times New Roman" w:hAnsi="Times New Roman" w:eastAsia="Times New Roman" w:cs="Times New Roman"/>
                <w:b w:val="0"/>
                <w:bCs w:val="0"/>
                <w:sz w:val="15"/>
                <w:szCs w:val="15"/>
              </w:rPr>
              <w:t>Drift</w:t>
            </w: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D">
            <w:pPr>
              <w:keepNext/>
              <w:jc w:val="left"/>
            </w:pPr>
            <w:r>
              <w:rPr>
                <w:rFonts w:ascii="Courier New" w:hAnsi="Courier New" w:eastAsia="Courier New" w:cs="Courier New"/>
                <w:b w:val="0"/>
                <w:bCs w:val="0"/>
                <w:sz w:val="14"/>
                <w:szCs w:val="14"/>
              </w:rPr>
              <w:t>obs_sim</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4E">
            <w:pPr>
              <w:keepNext/>
              <w:jc w:val="left"/>
            </w:pPr>
            <w:r>
              <w:rPr>
                <w:rFonts w:ascii="Times New Roman" w:hAnsi="Times New Roman" w:eastAsia="Times New Roman" w:cs="Times New Roman"/>
                <w:b w:val="0"/>
                <w:bCs w:val="0"/>
                <w:sz w:val="15"/>
                <w:szCs w:val="15"/>
              </w:rPr>
              <w:t>max similarity to untrusted segments</w:t>
            </w:r>
          </w:p>
        </w:tc>
      </w:tr>
      <w:tr w14:paraId="0000004F">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0">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1">
            <w:pPr>
              <w:keepNext/>
              <w:jc w:val="left"/>
            </w:pPr>
            <w:r>
              <w:rPr>
                <w:rFonts w:ascii="Courier New" w:hAnsi="Courier New" w:eastAsia="Courier New" w:cs="Courier New"/>
                <w:b w:val="0"/>
                <w:bCs w:val="0"/>
                <w:sz w:val="14"/>
                <w:szCs w:val="14"/>
              </w:rPr>
              <w:t>sim_suspicious</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2">
            <w:pPr>
              <w:keepNext/>
              <w:jc w:val="left"/>
            </w:pPr>
            <w:r>
              <w:rPr>
                <w:rFonts w:ascii="Times New Roman" w:hAnsi="Times New Roman" w:eastAsia="Times New Roman" w:cs="Times New Roman"/>
                <w:b w:val="0"/>
                <w:bCs w:val="0"/>
                <w:sz w:val="15"/>
                <w:szCs w:val="15"/>
              </w:rPr>
              <w:t>similarity to top-scored segment</w:t>
            </w:r>
          </w:p>
        </w:tc>
      </w:tr>
      <w:tr w14:paraId="00000053">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4">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5">
            <w:pPr>
              <w:keepNext/>
              <w:jc w:val="left"/>
            </w:pPr>
            <w:r>
              <w:rPr>
                <w:rFonts w:ascii="Courier New" w:hAnsi="Courier New" w:eastAsia="Courier New" w:cs="Courier New"/>
                <w:b w:val="0"/>
                <w:bCs w:val="0"/>
                <w:sz w:val="14"/>
                <w:szCs w:val="14"/>
              </w:rPr>
              <w:t>drift</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6">
            <w:pPr>
              <w:keepNext/>
              <w:jc w:val="left"/>
            </w:pPr>
            <w:r>
              <w:rPr>
                <w:rFonts w:ascii="Times New Roman" w:hAnsi="Times New Roman" w:eastAsia="Times New Roman" w:cs="Times New Roman"/>
                <w:b w:val="0"/>
                <w:bCs w:val="0"/>
                <w:sz w:val="15"/>
                <w:szCs w:val="15"/>
              </w:rPr>
              <w:t>difference of similarities, Eq. (3)</w:t>
            </w:r>
          </w:p>
        </w:tc>
      </w:tr>
      <w:tr w14:paraId="00000057">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8">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9">
            <w:pPr>
              <w:keepNext/>
              <w:jc w:val="left"/>
            </w:pPr>
            <w:r>
              <w:rPr>
                <w:rFonts w:ascii="Courier New" w:hAnsi="Courier New" w:eastAsia="Courier New" w:cs="Courier New"/>
                <w:b w:val="0"/>
                <w:bCs w:val="0"/>
                <w:sz w:val="14"/>
                <w:szCs w:val="14"/>
              </w:rPr>
              <w:t>susp_overlap</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A">
            <w:pPr>
              <w:keepNext/>
              <w:jc w:val="left"/>
            </w:pPr>
            <w:r>
              <w:rPr>
                <w:rFonts w:ascii="Times New Roman" w:hAnsi="Times New Roman" w:eastAsia="Times New Roman" w:cs="Times New Roman"/>
                <w:b w:val="0"/>
                <w:bCs w:val="0"/>
                <w:sz w:val="15"/>
                <w:szCs w:val="15"/>
              </w:rPr>
              <w:t>token overlap with top-scored segment</w:t>
            </w:r>
          </w:p>
        </w:tc>
      </w:tr>
      <w:tr w14:paraId="0000005B">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C">
            <w:pPr>
              <w:keepNext/>
              <w:jc w:val="left"/>
            </w:pPr>
            <w:r>
              <w:rPr>
                <w:rFonts w:ascii="Times New Roman" w:hAnsi="Times New Roman" w:eastAsia="Times New Roman" w:cs="Times New Roman"/>
                <w:b w:val="0"/>
                <w:bCs w:val="0"/>
                <w:sz w:val="15"/>
                <w:szCs w:val="15"/>
              </w:rPr>
              <w:t>Provenance</w:t>
            </w: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D">
            <w:pPr>
              <w:keepNext/>
              <w:jc w:val="left"/>
            </w:pPr>
            <w:r>
              <w:rPr>
                <w:rFonts w:ascii="Courier New" w:hAnsi="Courier New" w:eastAsia="Courier New" w:cs="Courier New"/>
                <w:b w:val="0"/>
                <w:bCs w:val="0"/>
                <w:sz w:val="14"/>
                <w:szCs w:val="14"/>
              </w:rPr>
              <w:t>arg_from_user</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5E">
            <w:pPr>
              <w:keepNext/>
              <w:jc w:val="left"/>
            </w:pPr>
            <w:r>
              <w:rPr>
                <w:rFonts w:ascii="Times New Roman" w:hAnsi="Times New Roman" w:eastAsia="Times New Roman" w:cs="Times New Roman"/>
                <w:b w:val="0"/>
                <w:bCs w:val="0"/>
                <w:sz w:val="15"/>
                <w:szCs w:val="15"/>
              </w:rPr>
              <w:t>argument values present in goal</w:t>
            </w:r>
          </w:p>
        </w:tc>
      </w:tr>
      <w:tr w14:paraId="0000005F">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0">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1">
            <w:pPr>
              <w:keepNext/>
              <w:jc w:val="left"/>
            </w:pPr>
            <w:r>
              <w:rPr>
                <w:rFonts w:ascii="Courier New" w:hAnsi="Courier New" w:eastAsia="Courier New" w:cs="Courier New"/>
                <w:b w:val="0"/>
                <w:bCs w:val="0"/>
                <w:sz w:val="14"/>
                <w:szCs w:val="14"/>
              </w:rPr>
              <w:t>arg_from_obs_only</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2">
            <w:pPr>
              <w:keepNext/>
              <w:jc w:val="left"/>
            </w:pPr>
            <w:r>
              <w:rPr>
                <w:rFonts w:ascii="Times New Roman" w:hAnsi="Times New Roman" w:eastAsia="Times New Roman" w:cs="Times New Roman"/>
                <w:b w:val="0"/>
                <w:bCs w:val="0"/>
                <w:sz w:val="15"/>
                <w:szCs w:val="15"/>
              </w:rPr>
              <w:t>taint ratio, Eq. (4)</w:t>
            </w:r>
          </w:p>
        </w:tc>
      </w:tr>
      <w:tr w14:paraId="00000063">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4">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5">
            <w:pPr>
              <w:keepNext/>
              <w:jc w:val="left"/>
            </w:pPr>
            <w:r>
              <w:rPr>
                <w:rFonts w:ascii="Courier New" w:hAnsi="Courier New" w:eastAsia="Courier New" w:cs="Courier New"/>
                <w:b w:val="0"/>
                <w:bCs w:val="0"/>
                <w:sz w:val="14"/>
                <w:szCs w:val="14"/>
              </w:rPr>
              <w:t>new_contact</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6">
            <w:pPr>
              <w:keepNext/>
              <w:jc w:val="left"/>
            </w:pPr>
            <w:r>
              <w:rPr>
                <w:rFonts w:ascii="Times New Roman" w:hAnsi="Times New Roman" w:eastAsia="Times New Roman" w:cs="Times New Roman"/>
                <w:b w:val="0"/>
                <w:bCs w:val="0"/>
                <w:sz w:val="15"/>
                <w:szCs w:val="15"/>
              </w:rPr>
              <w:t>recipient/account absent from goal</w:t>
            </w:r>
          </w:p>
        </w:tc>
      </w:tr>
      <w:tr w14:paraId="00000067">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8">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9">
            <w:pPr>
              <w:keepNext/>
              <w:jc w:val="left"/>
            </w:pPr>
            <w:r>
              <w:rPr>
                <w:rFonts w:ascii="Courier New" w:hAnsi="Courier New" w:eastAsia="Courier New" w:cs="Courier New"/>
                <w:b w:val="0"/>
                <w:bCs w:val="0"/>
                <w:sz w:val="14"/>
                <w:szCs w:val="14"/>
              </w:rPr>
              <w:t>n_atoms</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A">
            <w:pPr>
              <w:keepNext/>
              <w:jc w:val="left"/>
            </w:pPr>
            <w:r>
              <w:rPr>
                <w:rFonts w:ascii="Times New Roman" w:hAnsi="Times New Roman" w:eastAsia="Times New Roman" w:cs="Times New Roman"/>
                <w:b w:val="0"/>
                <w:bCs w:val="0"/>
                <w:sz w:val="15"/>
                <w:szCs w:val="15"/>
              </w:rPr>
              <w:t>number of argument values</w:t>
            </w:r>
          </w:p>
        </w:tc>
      </w:tr>
      <w:tr w14:paraId="0000006B">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C">
            <w:pPr>
              <w:keepNext/>
              <w:jc w:val="left"/>
            </w:pPr>
            <w:r>
              <w:rPr>
                <w:rFonts w:ascii="Times New Roman" w:hAnsi="Times New Roman" w:eastAsia="Times New Roman" w:cs="Times New Roman"/>
                <w:b w:val="0"/>
                <w:bCs w:val="0"/>
                <w:sz w:val="15"/>
                <w:szCs w:val="15"/>
              </w:rPr>
              <w:t>Capability</w:t>
            </w: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D">
            <w:pPr>
              <w:keepNext/>
              <w:jc w:val="left"/>
            </w:pPr>
            <w:r>
              <w:rPr>
                <w:rFonts w:ascii="Courier New" w:hAnsi="Courier New" w:eastAsia="Courier New" w:cs="Courier New"/>
                <w:b w:val="0"/>
                <w:bCs w:val="0"/>
                <w:sz w:val="14"/>
                <w:szCs w:val="14"/>
              </w:rPr>
              <w:t>risk_level</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6E">
            <w:pPr>
              <w:keepNext/>
              <w:jc w:val="left"/>
            </w:pPr>
            <w:r>
              <w:rPr>
                <w:rFonts w:ascii="Times New Roman" w:hAnsi="Times New Roman" w:eastAsia="Times New Roman" w:cs="Times New Roman"/>
                <w:b w:val="0"/>
                <w:bCs w:val="0"/>
                <w:sz w:val="15"/>
                <w:szCs w:val="15"/>
              </w:rPr>
              <w:t>read / write / high-risk tool verb</w:t>
            </w:r>
          </w:p>
        </w:tc>
      </w:tr>
      <w:tr w14:paraId="0000006F">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0">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1">
            <w:pPr>
              <w:keepNext/>
              <w:jc w:val="left"/>
            </w:pPr>
            <w:r>
              <w:rPr>
                <w:rFonts w:ascii="Courier New" w:hAnsi="Courier New" w:eastAsia="Courier New" w:cs="Courier New"/>
                <w:b w:val="0"/>
                <w:bCs w:val="0"/>
                <w:sz w:val="14"/>
                <w:szCs w:val="14"/>
              </w:rPr>
              <w:t>outbound</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2">
            <w:pPr>
              <w:keepNext/>
              <w:jc w:val="left"/>
            </w:pPr>
            <w:r>
              <w:rPr>
                <w:rFonts w:ascii="Times New Roman" w:hAnsi="Times New Roman" w:eastAsia="Times New Roman" w:cs="Times New Roman"/>
                <w:b w:val="0"/>
                <w:bCs w:val="0"/>
                <w:sz w:val="15"/>
                <w:szCs w:val="15"/>
              </w:rPr>
              <w:t>send, share, post, transfer, …</w:t>
            </w:r>
          </w:p>
        </w:tc>
      </w:tr>
      <w:tr w14:paraId="00000073">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4">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5">
            <w:pPr>
              <w:keepNext/>
              <w:jc w:val="left"/>
            </w:pPr>
            <w:r>
              <w:rPr>
                <w:rFonts w:ascii="Courier New" w:hAnsi="Courier New" w:eastAsia="Courier New" w:cs="Courier New"/>
                <w:b w:val="0"/>
                <w:bCs w:val="0"/>
                <w:sz w:val="14"/>
                <w:szCs w:val="14"/>
              </w:rPr>
              <w:t>exfil_flow</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6">
            <w:pPr>
              <w:keepNext/>
              <w:jc w:val="left"/>
            </w:pPr>
            <w:r>
              <w:rPr>
                <w:rFonts w:ascii="Times New Roman" w:hAnsi="Times New Roman" w:eastAsia="Times New Roman" w:cs="Times New Roman"/>
                <w:b w:val="0"/>
                <w:bCs w:val="0"/>
                <w:sz w:val="15"/>
                <w:szCs w:val="15"/>
              </w:rPr>
              <w:t>outbound payload read from tools</w:t>
            </w:r>
          </w:p>
        </w:tc>
      </w:tr>
      <w:tr w14:paraId="00000077">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8">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9">
            <w:pPr>
              <w:keepNext/>
              <w:jc w:val="left"/>
            </w:pPr>
            <w:r>
              <w:rPr>
                <w:rFonts w:ascii="Courier New" w:hAnsi="Courier New" w:eastAsia="Courier New" w:cs="Courier New"/>
                <w:b w:val="0"/>
                <w:bCs w:val="0"/>
                <w:sz w:val="14"/>
                <w:szCs w:val="14"/>
              </w:rPr>
              <w:t>new_toolkit</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A">
            <w:pPr>
              <w:keepNext/>
              <w:jc w:val="left"/>
            </w:pPr>
            <w:r>
              <w:rPr>
                <w:rFonts w:ascii="Times New Roman" w:hAnsi="Times New Roman" w:eastAsia="Times New Roman" w:cs="Times New Roman"/>
                <w:b w:val="0"/>
                <w:bCs w:val="0"/>
                <w:sz w:val="15"/>
                <w:szCs w:val="15"/>
              </w:rPr>
              <w:t>first use of an unrelated toolkit</w:t>
            </w:r>
          </w:p>
        </w:tc>
      </w:tr>
      <w:tr w14:paraId="0000007B">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C">
            <w:pPr>
              <w:keepNext/>
              <w:jc w:val="left"/>
            </w:pPr>
            <w:r>
              <w:rPr>
                <w:rFonts w:ascii="Times New Roman" w:hAnsi="Times New Roman" w:eastAsia="Times New Roman" w:cs="Times New Roman"/>
                <w:b w:val="0"/>
                <w:bCs w:val="0"/>
                <w:sz w:val="15"/>
                <w:szCs w:val="15"/>
              </w:rPr>
              <w:t>Context</w:t>
            </w: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D">
            <w:pPr>
              <w:keepNext/>
              <w:jc w:val="left"/>
            </w:pPr>
            <w:r>
              <w:rPr>
                <w:rFonts w:ascii="Courier New" w:hAnsi="Courier New" w:eastAsia="Courier New" w:cs="Courier New"/>
                <w:b w:val="0"/>
                <w:bCs w:val="0"/>
                <w:sz w:val="14"/>
                <w:szCs w:val="14"/>
              </w:rPr>
              <w:t>obs_inj_max</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7E">
            <w:pPr>
              <w:keepNext/>
              <w:jc w:val="left"/>
            </w:pPr>
            <w:r>
              <w:rPr>
                <w:rFonts w:ascii="Times New Roman" w:hAnsi="Times New Roman" w:eastAsia="Times New Roman" w:cs="Times New Roman"/>
                <w:b w:val="0"/>
                <w:bCs w:val="0"/>
                <w:sz w:val="15"/>
                <w:szCs w:val="15"/>
              </w:rPr>
              <w:t>max Layer-1 score of observations</w:t>
            </w:r>
          </w:p>
        </w:tc>
      </w:tr>
      <w:tr w14:paraId="0000007F">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80">
            <w:pPr>
              <w:keepNext/>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81">
            <w:pPr>
              <w:keepNext/>
              <w:jc w:val="left"/>
            </w:pPr>
            <w:r>
              <w:rPr>
                <w:rFonts w:ascii="Courier New" w:hAnsi="Courier New" w:eastAsia="Courier New" w:cs="Courier New"/>
                <w:b w:val="0"/>
                <w:bCs w:val="0"/>
                <w:sz w:val="14"/>
                <w:szCs w:val="14"/>
              </w:rPr>
              <w:t>obs_inj_last</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82">
            <w:pPr>
              <w:keepNext/>
              <w:jc w:val="left"/>
            </w:pPr>
            <w:r>
              <w:rPr>
                <w:rFonts w:ascii="Times New Roman" w:hAnsi="Times New Roman" w:eastAsia="Times New Roman" w:cs="Times New Roman"/>
                <w:b w:val="0"/>
                <w:bCs w:val="0"/>
                <w:sz w:val="15"/>
                <w:szCs w:val="15"/>
              </w:rPr>
              <w:t>Layer-1 score of last observation</w:t>
            </w:r>
          </w:p>
        </w:tc>
      </w:tr>
      <w:tr w14:paraId="00000083">
        <w:trPr>
          <w:cantSplit/>
          <w:hidden w:val="0"/>
        </w:trPr>
        <w:tc>
          <w:tcPr>
            <w:tcW w:w="8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84">
            <w:pPr>
              <w:keepNext w:val="0"/>
              <w:jc w:val="left"/>
            </w:pPr>
          </w:p>
        </w:tc>
        <w:tc>
          <w:tcPr>
            <w:tcW w:w="15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85">
            <w:pPr>
              <w:keepNext w:val="0"/>
              <w:jc w:val="left"/>
            </w:pPr>
            <w:r>
              <w:rPr>
                <w:rFonts w:ascii="Courier New" w:hAnsi="Courier New" w:eastAsia="Courier New" w:cs="Courier New"/>
                <w:b w:val="0"/>
                <w:bCs w:val="0"/>
                <w:sz w:val="14"/>
                <w:szCs w:val="14"/>
              </w:rPr>
              <w:t>step</w:t>
            </w:r>
          </w:p>
        </w:tc>
        <w:tc>
          <w:tcPr>
            <w:tcW w:w="2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86">
            <w:pPr>
              <w:keepNext w:val="0"/>
              <w:jc w:val="left"/>
            </w:pPr>
            <w:r>
              <w:rPr>
                <w:rFonts w:ascii="Times New Roman" w:hAnsi="Times New Roman" w:eastAsia="Times New Roman" w:cs="Times New Roman"/>
                <w:b w:val="0"/>
                <w:bCs w:val="0"/>
                <w:sz w:val="15"/>
                <w:szCs w:val="15"/>
              </w:rPr>
              <w:t>number of previous tool calls</w:t>
            </w:r>
          </w:p>
        </w:tc>
      </w:tr>
    </w:tbl>
    <w:p w14:paraId="00000087">
      <w:pPr>
        <w:spacing w:after="140"/>
        <w:jc w:val="left"/>
      </w:pPr>
    </w:p>
    <w:p w14:paraId="00000088">
      <w:pPr>
        <w:pStyle w:val="Heading2"/>
        <w:keepNext/>
        <w:spacing w:after="40" w:before="100"/>
      </w:pPr>
      <w:r>
        <w:rPr>
          <w:rFonts w:ascii="Times New Roman" w:hAnsi="Times New Roman" w:eastAsia="Times New Roman" w:cs="Times New Roman"/>
          <w:i/>
          <w:iCs/>
          <w:color w:val="000000"/>
          <w:sz w:val="20"/>
          <w:szCs w:val="20"/>
        </w:rPr>
        <w:t>C. Layer 2: Behavioural Monitor</w:t>
      </w:r>
    </w:p>
    <w:p w14:paraId="00000089">
      <w:pPr>
        <w:spacing w:after="0" w:line="240"/>
        <w:ind w:firstLine="202"/>
        <w:jc w:val="both"/>
      </w:pPr>
      <w:r>
        <w:rPr>
          <w:rFonts w:ascii="Times New Roman" w:hAnsi="Times New Roman" w:eastAsia="Times New Roman" w:cs="Times New Roman"/>
          <w:sz w:val="20"/>
          <w:szCs w:val="20"/>
        </w:rPr>
        <w:t xml:space="preserve">For every proposed call </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the monitor computes the features in Table I using only information available at that moment. Let </w:t>
      </w:r>
      <w:r>
        <w:rPr>
          <w:rFonts w:ascii="Times New Roman" w:hAnsi="Times New Roman" w:eastAsia="Times New Roman" w:cs="Times New Roman"/>
          <w:i/>
          <w:iCs/>
          <w:sz w:val="20"/>
          <w:szCs w:val="20"/>
        </w:rPr>
        <w:t>e</w:t>
      </w:r>
      <w:r>
        <w:rPr>
          <w:rFonts w:ascii="Times New Roman" w:hAnsi="Times New Roman" w:eastAsia="Times New Roman" w:cs="Times New Roman"/>
          <w:sz w:val="20"/>
          <w:szCs w:val="20"/>
        </w:rPr>
        <w:t xml:space="preserve">(·) be the unit-norm MiniLM embedding, </w:t>
      </w:r>
      <w:r>
        <w:rPr>
          <w:rFonts w:ascii="Times New Roman" w:hAnsi="Times New Roman" w:eastAsia="Times New Roman" w:cs="Times New Roman"/>
          <w:i/>
          <w:iCs/>
          <w:sz w:val="20"/>
          <w:szCs w:val="20"/>
        </w:rPr>
        <w:t>d</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a textual rendering of the call (tool name, tool description and argument values), </w:t>
      </w:r>
      <w:r>
        <w:rPr>
          <w:rFonts w:ascii="Times New Roman" w:hAnsi="Times New Roman" w:eastAsia="Times New Roman" w:cs="Times New Roman"/>
          <w:i/>
          <w:iCs/>
          <w:sz w:val="20"/>
          <w:szCs w:val="20"/>
        </w:rPr>
        <w:t>e</w:t>
      </w:r>
      <w:r>
        <w:rPr>
          <w:rFonts w:ascii="Times New Roman" w:hAnsi="Times New Roman" w:eastAsia="Times New Roman" w:cs="Times New Roman"/>
          <w:sz w:val="20"/>
          <w:szCs w:val="20"/>
          <w:vertAlign w:val="subscript"/>
        </w:rPr>
        <w:t>a</w:t>
      </w:r>
      <w:r>
        <w:rPr>
          <w:rFonts w:ascii="Times New Roman" w:hAnsi="Times New Roman" w:eastAsia="Times New Roman" w:cs="Times New Roman"/>
          <w:sz w:val="20"/>
          <w:szCs w:val="20"/>
        </w:rPr>
        <w:t xml:space="preserve"> = </w:t>
      </w:r>
      <w:r>
        <w:rPr>
          <w:rFonts w:ascii="Times New Roman" w:hAnsi="Times New Roman" w:eastAsia="Times New Roman" w:cs="Times New Roman"/>
          <w:i/>
          <w:iCs/>
          <w:sz w:val="20"/>
          <w:szCs w:val="20"/>
        </w:rPr>
        <w:t>e</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d</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e</w:t>
      </w:r>
      <w:r>
        <w:rPr>
          <w:rFonts w:ascii="Times New Roman" w:hAnsi="Times New Roman" w:eastAsia="Times New Roman" w:cs="Times New Roman"/>
          <w:sz w:val="20"/>
          <w:szCs w:val="20"/>
          <w:vertAlign w:val="subscript"/>
        </w:rPr>
        <w:t>g</w:t>
      </w:r>
      <w:r>
        <w:rPr>
          <w:rFonts w:ascii="Times New Roman" w:hAnsi="Times New Roman" w:eastAsia="Times New Roman" w:cs="Times New Roman"/>
          <w:sz w:val="20"/>
          <w:szCs w:val="20"/>
        </w:rPr>
        <w:t xml:space="preserve"> = </w:t>
      </w:r>
      <w:r>
        <w:rPr>
          <w:rFonts w:ascii="Times New Roman" w:hAnsi="Times New Roman" w:eastAsia="Times New Roman" w:cs="Times New Roman"/>
          <w:i/>
          <w:iCs/>
          <w:sz w:val="20"/>
          <w:szCs w:val="20"/>
        </w:rPr>
        <w:t>e</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g</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e</w:t>
      </w:r>
      <w:r>
        <w:rPr>
          <w:rFonts w:ascii="Times New Roman" w:hAnsi="Times New Roman" w:eastAsia="Times New Roman" w:cs="Times New Roman"/>
          <w:sz w:val="20"/>
          <w:szCs w:val="20"/>
          <w:vertAlign w:val="subscript"/>
        </w:rPr>
        <w:t>s</w:t>
      </w:r>
      <w:r>
        <w:rPr>
          <w:rFonts w:ascii="Times New Roman" w:hAnsi="Times New Roman" w:eastAsia="Times New Roman" w:cs="Times New Roman"/>
          <w:sz w:val="20"/>
          <w:szCs w:val="20"/>
        </w:rPr>
        <w:t xml:space="preserve"> = </w:t>
      </w:r>
      <w:r>
        <w:rPr>
          <w:rFonts w:ascii="Times New Roman" w:hAnsi="Times New Roman" w:eastAsia="Times New Roman" w:cs="Times New Roman"/>
          <w:i/>
          <w:iCs/>
          <w:sz w:val="20"/>
          <w:szCs w:val="20"/>
        </w:rPr>
        <w:t>e</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s</w:t>
      </w:r>
      <w:r>
        <w:rPr>
          <w:rFonts w:ascii="Times New Roman" w:hAnsi="Times New Roman" w:eastAsia="Times New Roman" w:cs="Times New Roman"/>
          <w:sz w:val="20"/>
          <w:szCs w:val="20"/>
        </w:rPr>
        <w:t xml:space="preserve">), and </w:t>
      </w:r>
      <w:r>
        <w:rPr>
          <w:rFonts w:ascii="Times New Roman" w:hAnsi="Times New Roman" w:eastAsia="Times New Roman" w:cs="Times New Roman"/>
          <w:i/>
          <w:iCs/>
          <w:sz w:val="20"/>
          <w:szCs w:val="20"/>
        </w:rPr>
        <w:t>S</w:t>
      </w:r>
      <w:r>
        <w:rPr>
          <w:rFonts w:ascii="Times New Roman" w:hAnsi="Times New Roman" w:eastAsia="Times New Roman" w:cs="Times New Roman"/>
          <w:sz w:val="20"/>
          <w:szCs w:val="20"/>
          <w:vertAlign w:val="subscript"/>
        </w:rPr>
        <w:t>&lt;t</w:t>
      </w:r>
      <w:r>
        <w:rPr>
          <w:rFonts w:ascii="Times New Roman" w:hAnsi="Times New Roman" w:eastAsia="Times New Roman" w:cs="Times New Roman"/>
          <w:sz w:val="20"/>
          <w:szCs w:val="20"/>
        </w:rPr>
        <w:t xml:space="preserve"> the set of untrusted segments observed so far. Drift compares the call with what was read and with what was asked:</w:t>
      </w:r>
    </w:p>
    <w:p w14:paraId="0000008A">
      <w:pPr>
        <w:tabs>
          <w:tab w:val="center" w:pos="2520"/>
          <w:tab w:val="right" w:pos="5040"/>
        </w:tabs>
        <w:spacing w:after="60" w:before="60"/>
      </w:pPr>
      <w:r>
        <w:rPr>
          <w:rFonts w:ascii="Times New Roman" w:hAnsi="Times New Roman" w:eastAsia="Times New Roman" w:cs="Times New Roman"/>
        </w:rPr>
        <w:t xml:space="preserve">	</w:t>
      </w:r>
      <m:oMath>
        <m:r>
          <m:t>Δ(</m:t>
        </m:r>
        <m:sSub>
          <m:sSubPr/>
          <m:e>
            <m:r>
              <m:t>a</m:t>
            </m:r>
          </m:e>
          <m:sub>
            <m:r>
              <m:t>t</m:t>
            </m:r>
          </m:sub>
        </m:sSub>
        <m:r>
          <m:t>)=</m:t>
        </m:r>
        <m:func>
          <m:funcPr/>
          <m:fName>
            <m:limLow>
              <m:e>
                <m:r>
                  <m:rPr>
                    <m:sty m:val="p"/>
                  </m:rPr>
                  <m:t>max</m:t>
                </m:r>
              </m:e>
              <m:lim>
                <m:r>
                  <m:t>s∈</m:t>
                </m:r>
                <m:sSub>
                  <m:sSubPr/>
                  <m:e>
                    <m:r>
                      <m:t>S</m:t>
                    </m:r>
                  </m:e>
                  <m:sub>
                    <m:r>
                      <m:t>&lt;t</m:t>
                    </m:r>
                  </m:sub>
                </m:sSub>
              </m:lim>
            </m:limLow>
          </m:fName>
          <m:e>
            <m:func>
              <m:funcPr/>
              <m:fName>
                <m:r>
                  <m:rPr>
                    <m:sty m:val="p"/>
                  </m:rPr>
                  <m:t>cos</m:t>
                </m:r>
              </m:fName>
              <m:e>
                <m:d>
                  <m:dPr/>
                  <m:e>
                    <m:sSub>
                      <m:sSubPr/>
                      <m:e>
                        <m:r>
                          <m:t>e</m:t>
                        </m:r>
                      </m:e>
                      <m:sub>
                        <m:r>
                          <m:t>a</m:t>
                        </m:r>
                      </m:sub>
                    </m:sSub>
                    <m:r>
                      <m:t>,</m:t>
                    </m:r>
                    <m:sSub>
                      <m:sSubPr/>
                      <m:e>
                        <m:r>
                          <m:t>e</m:t>
                        </m:r>
                      </m:e>
                      <m:sub>
                        <m:r>
                          <m:t>s</m:t>
                        </m:r>
                      </m:sub>
                    </m:sSub>
                  </m:e>
                </m:d>
              </m:e>
            </m:func>
          </m:e>
        </m:func>
        <m:r>
          <m:t>−</m:t>
        </m:r>
        <m:func>
          <m:funcPr/>
          <m:fName>
            <m:r>
              <m:rPr>
                <m:sty m:val="p"/>
              </m:rPr>
              <m:t>cos</m:t>
            </m:r>
          </m:fName>
          <m:e>
            <m:d>
              <m:dPr/>
              <m:e>
                <m:sSub>
                  <m:sSubPr/>
                  <m:e>
                    <m:r>
                      <m:t>e</m:t>
                    </m:r>
                  </m:e>
                  <m:sub>
                    <m:r>
                      <m:t>a</m:t>
                    </m:r>
                  </m:sub>
                </m:sSub>
                <m:r>
                  <m:t>,</m:t>
                </m:r>
                <m:sSub>
                  <m:sSubPr/>
                  <m:e>
                    <m:r>
                      <m:t>e</m:t>
                    </m:r>
                  </m:e>
                  <m:sub>
                    <m:r>
                      <m:t>g</m:t>
                    </m:r>
                  </m:sub>
                </m:sSub>
              </m:e>
            </m:d>
          </m:e>
        </m:func>
      </m:oMath>
      <w:r>
        <w:rPr>
          <w:rFonts w:ascii="Times New Roman" w:hAnsi="Times New Roman" w:eastAsia="Times New Roman" w:cs="Times New Roman"/>
          <w:sz w:val="20"/>
          <w:szCs w:val="20"/>
        </w:rPr>
        <w:t xml:space="preserve">	(3)</w:t>
      </w:r>
    </w:p>
    <w:p w14:paraId="0000008B">
      <w:pPr>
        <w:spacing w:after="0" w:line="240"/>
        <w:ind w:firstLine="0"/>
        <w:jc w:val="both"/>
      </w:pPr>
      <w:r>
        <w:rPr>
          <w:rFonts w:ascii="Times New Roman" w:hAnsi="Times New Roman" w:eastAsia="Times New Roman" w:cs="Times New Roman"/>
          <w:sz w:val="20"/>
          <w:szCs w:val="20"/>
        </w:rPr>
        <w:t xml:space="preserve">A positive drift means the action resembles something the agent read more than what the user requested. Argument provenance is captured by a taint ratio over the atomic values </w:t>
      </w:r>
      <w:r>
        <w:rPr>
          <w:rFonts w:ascii="Times New Roman" w:hAnsi="Times New Roman" w:eastAsia="Times New Roman" w:cs="Times New Roman"/>
          <w:i/>
          <w:iCs/>
          <w:sz w:val="20"/>
          <w:szCs w:val="20"/>
        </w:rPr>
        <w:t>X</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a</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in the arguments (e-mail addresses, account numbers, identifiers and content words):</w:t>
      </w:r>
    </w:p>
    <w:p w14:paraId="0000008C">
      <w:pPr>
        <w:tabs>
          <w:tab w:val="center" w:pos="2520"/>
          <w:tab w:val="right" w:pos="5040"/>
        </w:tabs>
        <w:spacing w:after="60" w:before="60"/>
      </w:pPr>
      <w:r>
        <w:rPr>
          <w:rFonts w:ascii="Times New Roman" w:hAnsi="Times New Roman" w:eastAsia="Times New Roman" w:cs="Times New Roman"/>
        </w:rPr>
        <w:t xml:space="preserve">	</w:t>
      </w:r>
      <m:oMath>
        <m:r>
          <m:t>ρ(</m:t>
        </m:r>
        <m:sSub>
          <m:sSubPr/>
          <m:e>
            <m:r>
              <m:t>a</m:t>
            </m:r>
          </m:e>
          <m:sub>
            <m:r>
              <m:t>t</m:t>
            </m:r>
          </m:sub>
        </m:sSub>
        <m:r>
          <m:t>)=</m:t>
        </m:r>
        <m:f>
          <m:num>
            <m:r>
              <m:t>|{x∈X(</m:t>
            </m:r>
            <m:sSub>
              <m:sSubPr/>
              <m:e>
                <m:r>
                  <m:t>a</m:t>
                </m:r>
              </m:e>
              <m:sub>
                <m:r>
                  <m:t>t</m:t>
                </m:r>
              </m:sub>
            </m:sSub>
            <m:r>
              <m:t>): x∉g ∧ x∈</m:t>
            </m:r>
            <m:sSub>
              <m:sSubPr/>
              <m:e>
                <m:r>
                  <m:t>O</m:t>
                </m:r>
              </m:e>
              <m:sub>
                <m:r>
                  <m:t>&lt;t</m:t>
                </m:r>
              </m:sub>
            </m:sSub>
            <m:r>
              <m:t>}|</m:t>
            </m:r>
          </m:num>
          <m:den>
            <m:r>
              <m:t>|X(</m:t>
            </m:r>
            <m:sSub>
              <m:sSubPr/>
              <m:e>
                <m:r>
                  <m:t>a</m:t>
                </m:r>
              </m:e>
              <m:sub>
                <m:r>
                  <m:t>t</m:t>
                </m:r>
              </m:sub>
            </m:sSub>
            <m:r>
              <m:t>)|</m:t>
            </m:r>
          </m:den>
        </m:f>
      </m:oMath>
      <w:r>
        <w:rPr>
          <w:rFonts w:ascii="Times New Roman" w:hAnsi="Times New Roman" w:eastAsia="Times New Roman" w:cs="Times New Roman"/>
          <w:sz w:val="20"/>
          <w:szCs w:val="20"/>
        </w:rPr>
        <w:t xml:space="preserve">	(4)</w:t>
      </w:r>
    </w:p>
    <w:p w14:paraId="0000008D">
      <w:pPr>
        <w:spacing w:after="0" w:line="240"/>
        <w:ind w:firstLine="0"/>
        <w:jc w:val="both"/>
      </w:pPr>
      <w:r>
        <w:rPr>
          <w:rFonts w:ascii="Times New Roman" w:hAnsi="Times New Roman" w:eastAsia="Times New Roman" w:cs="Times New Roman"/>
          <w:sz w:val="20"/>
          <w:szCs w:val="20"/>
        </w:rPr>
        <w:t xml:space="preserve">where </w:t>
      </w:r>
      <w:r>
        <w:rPr>
          <w:rFonts w:ascii="Times New Roman" w:hAnsi="Times New Roman" w:eastAsia="Times New Roman" w:cs="Times New Roman"/>
          <w:i/>
          <w:iCs/>
          <w:sz w:val="20"/>
          <w:szCs w:val="20"/>
        </w:rPr>
        <w:t>O</w:t>
      </w:r>
      <w:r>
        <w:rPr>
          <w:rFonts w:ascii="Times New Roman" w:hAnsi="Times New Roman" w:eastAsia="Times New Roman" w:cs="Times New Roman"/>
          <w:sz w:val="20"/>
          <w:szCs w:val="20"/>
          <w:vertAlign w:val="subscript"/>
        </w:rPr>
        <w:t>&lt;t</w:t>
      </w:r>
      <w:r>
        <w:rPr>
          <w:rFonts w:ascii="Times New Roman" w:hAnsi="Times New Roman" w:eastAsia="Times New Roman" w:cs="Times New Roman"/>
          <w:sz w:val="20"/>
          <w:szCs w:val="20"/>
        </w:rPr>
        <w:t xml:space="preserve"> is the concatenated text of previous observations. Capability features encode whether the tool reads, writes or performs a high-risk or outbound operation, and an exfiltration feature measures how much of an outbound call's payload was read from earlier tool outputs. Layer-1 scores of previous observations are included as context. An XGBoost classifier (400 trees, depth 4, learning rate 0.05) maps the 18-dimensional vector to </w:t>
      </w:r>
      <w:r>
        <w:rPr>
          <w:rFonts w:ascii="Times New Roman" w:hAnsi="Times New Roman" w:eastAsia="Times New Roman" w:cs="Times New Roman"/>
          <w:i/>
          <w:iCs/>
          <w:sz w:val="20"/>
          <w:szCs w:val="20"/>
        </w:rPr>
        <w:t>P</w:t>
      </w:r>
      <w:r>
        <w:rPr>
          <w:rFonts w:ascii="Times New Roman" w:hAnsi="Times New Roman" w:eastAsia="Times New Roman" w:cs="Times New Roman"/>
          <w:sz w:val="20"/>
          <w:szCs w:val="20"/>
        </w:rPr>
        <w:t>(hijacked), and calls with probability of at least 0.5 are blocked.</w:t>
      </w:r>
    </w:p>
    <w:p w14:paraId="0000008E">
      <w:pPr>
        <w:pStyle w:val="Heading2"/>
        <w:keepNext/>
        <w:spacing w:after="40" w:before="100"/>
      </w:pPr>
      <w:r>
        <w:rPr>
          <w:rFonts w:ascii="Times New Roman" w:hAnsi="Times New Roman" w:eastAsia="Times New Roman" w:cs="Times New Roman"/>
          <w:i/>
          <w:iCs/>
          <w:color w:val="000000"/>
          <w:sz w:val="20"/>
          <w:szCs w:val="20"/>
        </w:rPr>
        <w:t>D. Layer 3: Runtime Guard and Security Alerting</w:t>
      </w:r>
    </w:p>
    <w:p w14:paraId="0000008F">
      <w:pPr>
        <w:spacing w:after="0" w:line="240"/>
        <w:ind w:firstLine="202"/>
        <w:jc w:val="both"/>
      </w:pPr>
      <w:r>
        <w:rPr>
          <w:rFonts w:ascii="Times New Roman" w:hAnsi="Times New Roman" w:eastAsia="Times New Roman" w:cs="Times New Roman"/>
          <w:sz w:val="20"/>
          <w:szCs w:val="20"/>
        </w:rPr>
        <w:t xml:space="preserve">Algorithm 1 summarises the interception logic. In </w:t>
      </w:r>
      <w:r>
        <w:rPr>
          <w:rFonts w:ascii="Times New Roman" w:hAnsi="Times New Roman" w:eastAsia="Times New Roman" w:cs="Times New Roman"/>
          <w:i/>
          <w:iCs/>
          <w:sz w:val="20"/>
          <w:szCs w:val="20"/>
        </w:rPr>
        <w:t>prevent</w:t>
      </w:r>
      <w:r>
        <w:rPr>
          <w:rFonts w:ascii="Times New Roman" w:hAnsi="Times New Roman" w:eastAsia="Times New Roman" w:cs="Times New Roman"/>
          <w:sz w:val="20"/>
          <w:szCs w:val="20"/>
        </w:rPr>
        <w:t xml:space="preserve"> mode a blocked call is not executed and the agent receives an error listing human-readable reasons derived from the features (for example, “sends to a recipient the user never mentioned”); in </w:t>
      </w:r>
      <w:r>
        <w:rPr>
          <w:rFonts w:ascii="Times New Roman" w:hAnsi="Times New Roman" w:eastAsia="Times New Roman" w:cs="Times New Roman"/>
          <w:i/>
          <w:iCs/>
          <w:sz w:val="20"/>
          <w:szCs w:val="20"/>
        </w:rPr>
        <w:t>detect</w:t>
      </w:r>
      <w:r>
        <w:rPr>
          <w:rFonts w:ascii="Times New Roman" w:hAnsi="Times New Roman" w:eastAsia="Times New Roman" w:cs="Times New Roman"/>
          <w:sz w:val="20"/>
          <w:szCs w:val="20"/>
        </w:rPr>
        <w:t xml:space="preserve"> mode calls proceed and only alerts are raised. Alerts are graded: MEDIUM when injected content is quarantined, HIGH when a call is blocked, and CRITICAL when the blocked call is high-risk and shows exfiltration, an unknown recipient or tainted arguments. A CRITICAL alert, or two HIGH alerts in one session, triggers a </w:t>
      </w:r>
      <w:r>
        <w:rPr>
          <w:rFonts w:ascii="Times New Roman" w:hAnsi="Times New Roman" w:eastAsia="Times New Roman" w:cs="Times New Roman"/>
          <w:i/>
          <w:iCs/>
          <w:sz w:val="20"/>
          <w:szCs w:val="20"/>
        </w:rPr>
        <w:t>session lockdown</w:t>
      </w:r>
      <w:r>
        <w:rPr>
          <w:rFonts w:ascii="Times New Roman" w:hAnsi="Times New Roman" w:eastAsia="Times New Roman" w:cs="Times New Roman"/>
          <w:sz w:val="20"/>
          <w:szCs w:val="20"/>
        </w:rPr>
        <w:t xml:space="preserve"> in which further write or high-risk calls are refused until a human reviews the session. All decisions are appended to a JSON-lines audit log suitable for ingestion by a security information and event management (SIEM) system.</w:t>
      </w:r>
    </w:p>
    <w:p w14:paraId="00000090">
      <w:pPr>
        <w:spacing w:after="0" w:before="120"/>
      </w:pPr>
    </w:p>
    <w:tbl>
      <w:tblPr>
        <w:tblW w:w="5040" w:type="dxa"/>
        <w:tblBorders>
          <w:top w:val="single" w:color="000000" w:sz="8"/>
          <w:left w:val="nil" w:color="FFFFFF" w:sz="0"/>
          <w:bottom w:val="single" w:color="000000" w:sz="8"/>
          <w:right w:val="nil" w:color="FFFFFF" w:sz="0"/>
          <w:insideH w:val="nil" w:color="FFFFFF" w:sz="0"/>
          <w:insideV w:val="nil" w:color="FFFFFF" w:sz="0"/>
        </w:tblBorders>
      </w:tblPr>
      <w:tblGrid>
        <w:gridCol w:w="5040"/>
      </w:tblGrid>
      <w:tr w14:paraId="00000091">
        <w:trPr>
          <w:cantSplit/>
          <w:hidden w:val="0"/>
        </w:trPr>
        <w:tc>
          <w:tcPr>
            <w:tcW w:w="5040" w:type="dxa"/>
            <w:tcBorders>
              <w:top w:val="nil" w:color="FFFFFF" w:sz="0"/>
              <w:left w:val="nil" w:color="FFFFFF" w:sz="0"/>
              <w:bottom w:val="single" w:color="000000" w:sz="4"/>
              <w:right w:val="nil" w:color="FFFFFF" w:sz="0"/>
            </w:tcBorders>
            <w:tcMar>
              <w:top w:w="30" w:type="dxa"/>
              <w:left w:w="80" w:type="dxa"/>
              <w:bottom w:w="30" w:type="dxa"/>
              <w:right w:w="80" w:type="dxa"/>
            </w:tcMar>
          </w:tcPr>
          <w:p w14:paraId="00000092">
            <w:r>
              <w:rPr>
                <w:rFonts w:ascii="Times New Roman" w:hAnsi="Times New Roman" w:eastAsia="Times New Roman" w:cs="Times New Roman"/>
                <w:b/>
                <w:bCs/>
                <w:sz w:val="16"/>
                <w:szCs w:val="16"/>
              </w:rPr>
              <w:t>Algorithm 1:</w:t>
            </w:r>
            <w:r>
              <w:rPr>
                <w:rFonts w:ascii="Times New Roman" w:hAnsi="Times New Roman" w:eastAsia="Times New Roman" w:cs="Times New Roman"/>
                <w:sz w:val="16"/>
                <w:szCs w:val="16"/>
              </w:rPr>
              <w:t xml:space="preserve"> Tool-call interception by the runtime guard</w:t>
            </w:r>
          </w:p>
        </w:tc>
      </w:tr>
      <w:tr w14:paraId="00000093">
        <w:trPr>
          <w:cantSplit/>
          <w:hidden w:val="0"/>
        </w:trPr>
        <w:tc>
          <w:tcPr>
            <w:tcW w:w="5040" w:type="dxa"/>
            <w:tcBorders>
              <w:top w:val="nil" w:color="FFFFFF" w:sz="0"/>
              <w:left w:val="nil" w:color="FFFFFF" w:sz="0"/>
              <w:bottom w:val="nil" w:color="FFFFFF" w:sz="0"/>
              <w:right w:val="nil" w:color="FFFFFF" w:sz="0"/>
            </w:tcBorders>
            <w:tcMar>
              <w:top w:w="40" w:type="dxa"/>
              <w:left w:w="80" w:type="dxa"/>
              <w:bottom w:w="60" w:type="dxa"/>
              <w:right w:w="80" w:type="dxa"/>
            </w:tcMar>
          </w:tcPr>
          <w:p w14:paraId="00000094">
            <w:pPr>
              <w:spacing w:after="0"/>
              <w:ind w:hanging="200" w:left="200"/>
            </w:pPr>
            <w:r>
              <w:rPr>
                <w:rFonts w:ascii="Times New Roman" w:hAnsi="Times New Roman" w:eastAsia="Times New Roman" w:cs="Times New Roman"/>
                <w:b/>
                <w:bCs/>
                <w:sz w:val="16"/>
                <w:szCs w:val="16"/>
              </w:rPr>
              <w:t>Input:</w:t>
            </w:r>
            <w:r>
              <w:rPr>
                <w:rFonts w:ascii="Times New Roman" w:hAnsi="Times New Roman" w:eastAsia="Times New Roman" w:cs="Times New Roman"/>
                <w:sz w:val="16"/>
                <w:szCs w:val="16"/>
              </w:rPr>
              <w:t xml:space="preserve"> user goal </w:t>
            </w:r>
            <w:r>
              <w:rPr>
                <w:rFonts w:ascii="Times New Roman" w:hAnsi="Times New Roman" w:eastAsia="Times New Roman" w:cs="Times New Roman"/>
                <w:i/>
                <w:iCs/>
                <w:sz w:val="16"/>
                <w:szCs w:val="16"/>
              </w:rPr>
              <w:t>g</w:t>
            </w:r>
            <w:r>
              <w:rPr>
                <w:rFonts w:ascii="Times New Roman" w:hAnsi="Times New Roman" w:eastAsia="Times New Roman" w:cs="Times New Roman"/>
                <w:sz w:val="16"/>
                <w:szCs w:val="16"/>
              </w:rPr>
              <w:t xml:space="preserve">, tool </w:t>
            </w:r>
            <w:r>
              <w:rPr>
                <w:rFonts w:ascii="Times New Roman" w:hAnsi="Times New Roman" w:eastAsia="Times New Roman" w:cs="Times New Roman"/>
                <w:i/>
                <w:iCs/>
                <w:sz w:val="16"/>
                <w:szCs w:val="16"/>
              </w:rPr>
              <w:t>f</w:t>
            </w:r>
            <w:r>
              <w:rPr>
                <w:rFonts w:ascii="Times New Roman" w:hAnsi="Times New Roman" w:eastAsia="Times New Roman" w:cs="Times New Roman"/>
                <w:sz w:val="16"/>
                <w:szCs w:val="16"/>
              </w:rPr>
              <w:t xml:space="preserve">, proposed call </w:t>
            </w:r>
            <w:r>
              <w:rPr>
                <w:rFonts w:ascii="Times New Roman" w:hAnsi="Times New Roman" w:eastAsia="Times New Roman" w:cs="Times New Roman"/>
                <w:i/>
                <w:iCs/>
                <w:sz w:val="16"/>
                <w:szCs w:val="16"/>
              </w:rPr>
              <w:t>a</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rPr>
              <w:t xml:space="preserve"> = (τ, θ), history </w:t>
            </w:r>
            <w:r>
              <w:rPr>
                <w:rFonts w:ascii="Times New Roman" w:hAnsi="Times New Roman" w:eastAsia="Times New Roman" w:cs="Times New Roman"/>
                <w:i/>
                <w:iCs/>
                <w:sz w:val="16"/>
                <w:szCs w:val="16"/>
              </w:rPr>
              <w:t>H</w:t>
            </w:r>
            <w:r>
              <w:rPr>
                <w:rFonts w:ascii="Times New Roman" w:hAnsi="Times New Roman" w:eastAsia="Times New Roman" w:cs="Times New Roman"/>
                <w:sz w:val="16"/>
                <w:szCs w:val="16"/>
                <w:vertAlign w:val="subscript"/>
              </w:rPr>
              <w:t>t</w:t>
            </w:r>
          </w:p>
          <w:p w14:paraId="00000095">
            <w:pPr>
              <w:spacing w:after="0"/>
              <w:ind w:hanging="200" w:left="200"/>
            </w:pPr>
            <w:r>
              <w:rPr>
                <w:rFonts w:ascii="Times New Roman" w:hAnsi="Times New Roman" w:eastAsia="Times New Roman" w:cs="Times New Roman"/>
                <w:sz w:val="16"/>
                <w:szCs w:val="16"/>
              </w:rPr>
              <w:t xml:space="preserve">1: </w:t>
            </w:r>
            <w:r>
              <w:rPr>
                <w:rFonts w:ascii="Times New Roman" w:hAnsi="Times New Roman" w:eastAsia="Times New Roman" w:cs="Times New Roman"/>
                <w:i/>
                <w:iCs/>
                <w:sz w:val="16"/>
                <w:szCs w:val="16"/>
              </w:rPr>
              <w:t>x</w:t>
            </w:r>
            <w:r>
              <w:rPr>
                <w:rFonts w:ascii="Times New Roman" w:hAnsi="Times New Roman" w:eastAsia="Times New Roman" w:cs="Times New Roman"/>
                <w:sz w:val="16"/>
                <w:szCs w:val="16"/>
              </w:rPr>
              <w:t xml:space="preserve"> ← features(</w:t>
            </w:r>
            <w:r>
              <w:rPr>
                <w:rFonts w:ascii="Times New Roman" w:hAnsi="Times New Roman" w:eastAsia="Times New Roman" w:cs="Times New Roman"/>
                <w:i/>
                <w:iCs/>
                <w:sz w:val="16"/>
                <w:szCs w:val="16"/>
              </w:rPr>
              <w:t>a</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rPr>
              <w:t xml:space="preserve"> | </w:t>
            </w:r>
            <w:r>
              <w:rPr>
                <w:rFonts w:ascii="Times New Roman" w:hAnsi="Times New Roman" w:eastAsia="Times New Roman" w:cs="Times New Roman"/>
                <w:i/>
                <w:iCs/>
                <w:sz w:val="16"/>
                <w:szCs w:val="16"/>
              </w:rPr>
              <w:t>g</w:t>
            </w:r>
            <w:r>
              <w:rPr>
                <w:rFonts w:ascii="Times New Roman" w:hAnsi="Times New Roman" w:eastAsia="Times New Roman" w:cs="Times New Roman"/>
                <w:sz w:val="16"/>
                <w:szCs w:val="16"/>
              </w:rPr>
              <w:t xml:space="preserve">, </w:t>
            </w:r>
            <w:r>
              <w:rPr>
                <w:rFonts w:ascii="Times New Roman" w:hAnsi="Times New Roman" w:eastAsia="Times New Roman" w:cs="Times New Roman"/>
                <w:i/>
                <w:iCs/>
                <w:sz w:val="16"/>
                <w:szCs w:val="16"/>
              </w:rPr>
              <w:t>H</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rPr>
              <w:t>)   ▷ Layer 2</w:t>
            </w:r>
          </w:p>
          <w:p w14:paraId="00000096">
            <w:pPr>
              <w:spacing w:after="0"/>
              <w:ind w:hanging="200" w:left="200"/>
            </w:pPr>
            <w:r>
              <w:rPr>
                <w:rFonts w:ascii="Times New Roman" w:hAnsi="Times New Roman" w:eastAsia="Times New Roman" w:cs="Times New Roman"/>
                <w:sz w:val="16"/>
                <w:szCs w:val="16"/>
              </w:rPr>
              <w:t xml:space="preserve">2: </w:t>
            </w:r>
            <w:r>
              <w:rPr>
                <w:rFonts w:ascii="Times New Roman" w:hAnsi="Times New Roman" w:eastAsia="Times New Roman" w:cs="Times New Roman"/>
                <w:b/>
                <w:bCs/>
                <w:sz w:val="16"/>
                <w:szCs w:val="16"/>
              </w:rPr>
              <w:t>if</w:t>
            </w:r>
            <w:r>
              <w:rPr>
                <w:rFonts w:ascii="Times New Roman" w:hAnsi="Times New Roman" w:eastAsia="Times New Roman" w:cs="Times New Roman"/>
                <w:sz w:val="16"/>
                <w:szCs w:val="16"/>
              </w:rPr>
              <w:t xml:space="preserve"> session locked </w:t>
            </w:r>
            <w:r>
              <w:rPr>
                <w:rFonts w:ascii="Times New Roman" w:hAnsi="Times New Roman" w:eastAsia="Times New Roman" w:cs="Times New Roman"/>
                <w:b/>
                <w:bCs/>
                <w:sz w:val="16"/>
                <w:szCs w:val="16"/>
              </w:rPr>
              <w:t>and</w:t>
            </w:r>
            <w:r>
              <w:rPr>
                <w:rFonts w:ascii="Times New Roman" w:hAnsi="Times New Roman" w:eastAsia="Times New Roman" w:cs="Times New Roman"/>
                <w:sz w:val="16"/>
                <w:szCs w:val="16"/>
              </w:rPr>
              <w:t xml:space="preserve"> risk(τ) ≥ write </w:t>
            </w:r>
            <w:r>
              <w:rPr>
                <w:rFonts w:ascii="Times New Roman" w:hAnsi="Times New Roman" w:eastAsia="Times New Roman" w:cs="Times New Roman"/>
                <w:b/>
                <w:bCs/>
                <w:sz w:val="16"/>
                <w:szCs w:val="16"/>
              </w:rPr>
              <w:t>then</w:t>
            </w:r>
            <w:r>
              <w:rPr>
                <w:rFonts w:ascii="Times New Roman" w:hAnsi="Times New Roman" w:eastAsia="Times New Roman" w:cs="Times New Roman"/>
                <w:sz w:val="16"/>
                <w:szCs w:val="16"/>
              </w:rPr>
              <w:t xml:space="preserve"> alert(HIGH); </w:t>
            </w:r>
            <w:r>
              <w:rPr>
                <w:rFonts w:ascii="Times New Roman" w:hAnsi="Times New Roman" w:eastAsia="Times New Roman" w:cs="Times New Roman"/>
                <w:b/>
                <w:bCs/>
                <w:sz w:val="16"/>
                <w:szCs w:val="16"/>
              </w:rPr>
              <w:t>return</w:t>
            </w:r>
            <w:r>
              <w:rPr>
                <w:rFonts w:ascii="Times New Roman" w:hAnsi="Times New Roman" w:eastAsia="Times New Roman" w:cs="Times New Roman"/>
                <w:sz w:val="16"/>
                <w:szCs w:val="16"/>
              </w:rPr>
              <w:t xml:space="preserve"> error</w:t>
            </w:r>
          </w:p>
          <w:p w14:paraId="00000097">
            <w:pPr>
              <w:spacing w:after="0"/>
              <w:ind w:hanging="200" w:left="200"/>
            </w:pPr>
            <w:r>
              <w:rPr>
                <w:rFonts w:ascii="Times New Roman" w:hAnsi="Times New Roman" w:eastAsia="Times New Roman" w:cs="Times New Roman"/>
                <w:sz w:val="16"/>
                <w:szCs w:val="16"/>
              </w:rPr>
              <w:t xml:space="preserve">3: </w:t>
            </w:r>
            <w:r>
              <w:rPr>
                <w:rFonts w:ascii="Times New Roman" w:hAnsi="Times New Roman" w:eastAsia="Times New Roman" w:cs="Times New Roman"/>
                <w:i/>
                <w:iCs/>
                <w:sz w:val="16"/>
                <w:szCs w:val="16"/>
              </w:rPr>
              <w:t>p</w:t>
            </w:r>
            <w:r>
              <w:rPr>
                <w:rFonts w:ascii="Times New Roman" w:hAnsi="Times New Roman" w:eastAsia="Times New Roman" w:cs="Times New Roman"/>
                <w:sz w:val="16"/>
                <w:szCs w:val="16"/>
              </w:rPr>
              <w:t xml:space="preserve"> ← XGBoost(</w:t>
            </w:r>
            <w:r>
              <w:rPr>
                <w:rFonts w:ascii="Times New Roman" w:hAnsi="Times New Roman" w:eastAsia="Times New Roman" w:cs="Times New Roman"/>
                <w:i/>
                <w:iCs/>
                <w:sz w:val="16"/>
                <w:szCs w:val="16"/>
              </w:rPr>
              <w:t>x</w:t>
            </w:r>
            <w:r>
              <w:rPr>
                <w:rFonts w:ascii="Times New Roman" w:hAnsi="Times New Roman" w:eastAsia="Times New Roman" w:cs="Times New Roman"/>
                <w:sz w:val="16"/>
                <w:szCs w:val="16"/>
              </w:rPr>
              <w:t>)</w:t>
            </w:r>
          </w:p>
          <w:p w14:paraId="00000098">
            <w:pPr>
              <w:spacing w:after="0"/>
              <w:ind w:hanging="200" w:left="200"/>
            </w:pPr>
            <w:r>
              <w:rPr>
                <w:rFonts w:ascii="Times New Roman" w:hAnsi="Times New Roman" w:eastAsia="Times New Roman" w:cs="Times New Roman"/>
                <w:sz w:val="16"/>
                <w:szCs w:val="16"/>
              </w:rPr>
              <w:t xml:space="preserve">4: </w:t>
            </w:r>
            <w:r>
              <w:rPr>
                <w:rFonts w:ascii="Times New Roman" w:hAnsi="Times New Roman" w:eastAsia="Times New Roman" w:cs="Times New Roman"/>
                <w:b/>
                <w:bCs/>
                <w:sz w:val="16"/>
                <w:szCs w:val="16"/>
              </w:rPr>
              <w:t>if</w:t>
            </w:r>
            <w:r>
              <w:rPr>
                <w:rFonts w:ascii="Times New Roman" w:hAnsi="Times New Roman" w:eastAsia="Times New Roman" w:cs="Times New Roman"/>
                <w:sz w:val="16"/>
                <w:szCs w:val="16"/>
              </w:rPr>
              <w:t xml:space="preserve"> </w:t>
            </w:r>
            <w:r>
              <w:rPr>
                <w:rFonts w:ascii="Times New Roman" w:hAnsi="Times New Roman" w:eastAsia="Times New Roman" w:cs="Times New Roman"/>
                <w:i/>
                <w:iCs/>
                <w:sz w:val="16"/>
                <w:szCs w:val="16"/>
              </w:rPr>
              <w:t>p</w:t>
            </w:r>
            <w:r>
              <w:rPr>
                <w:rFonts w:ascii="Times New Roman" w:hAnsi="Times New Roman" w:eastAsia="Times New Roman" w:cs="Times New Roman"/>
                <w:sz w:val="16"/>
                <w:szCs w:val="16"/>
              </w:rPr>
              <w:t xml:space="preserve"> ≥ 0.5 </w:t>
            </w:r>
            <w:r>
              <w:rPr>
                <w:rFonts w:ascii="Times New Roman" w:hAnsi="Times New Roman" w:eastAsia="Times New Roman" w:cs="Times New Roman"/>
                <w:b/>
                <w:bCs/>
                <w:sz w:val="16"/>
                <w:szCs w:val="16"/>
              </w:rPr>
              <w:t>then</w:t>
            </w:r>
          </w:p>
          <w:p w14:paraId="00000099">
            <w:pPr>
              <w:spacing w:after="0"/>
              <w:ind w:hanging="200" w:left="420"/>
            </w:pPr>
            <w:r>
              <w:rPr>
                <w:rFonts w:ascii="Times New Roman" w:hAnsi="Times New Roman" w:eastAsia="Times New Roman" w:cs="Times New Roman"/>
                <w:sz w:val="16"/>
                <w:szCs w:val="16"/>
              </w:rPr>
              <w:t xml:space="preserve">5: </w:t>
            </w:r>
            <w:r>
              <w:rPr>
                <w:rFonts w:ascii="Times New Roman" w:hAnsi="Times New Roman" w:eastAsia="Times New Roman" w:cs="Times New Roman"/>
                <w:sz w:val="16"/>
                <w:szCs w:val="16"/>
              </w:rPr>
              <w:t>alert(HIGH or CRITICAL); lockdown if required</w:t>
            </w:r>
          </w:p>
          <w:p w14:paraId="0000009A">
            <w:pPr>
              <w:spacing w:after="0"/>
              <w:ind w:hanging="200" w:left="420"/>
            </w:pPr>
            <w:r>
              <w:rPr>
                <w:rFonts w:ascii="Times New Roman" w:hAnsi="Times New Roman" w:eastAsia="Times New Roman" w:cs="Times New Roman"/>
                <w:sz w:val="16"/>
                <w:szCs w:val="16"/>
              </w:rPr>
              <w:t xml:space="preserve">6: </w:t>
            </w:r>
            <w:r>
              <w:rPr>
                <w:rFonts w:ascii="Times New Roman" w:hAnsi="Times New Roman" w:eastAsia="Times New Roman" w:cs="Times New Roman"/>
                <w:b/>
                <w:bCs/>
                <w:sz w:val="16"/>
                <w:szCs w:val="16"/>
              </w:rPr>
              <w:t>return</w:t>
            </w:r>
            <w:r>
              <w:rPr>
                <w:rFonts w:ascii="Times New Roman" w:hAnsi="Times New Roman" w:eastAsia="Times New Roman" w:cs="Times New Roman"/>
                <w:sz w:val="16"/>
                <w:szCs w:val="16"/>
              </w:rPr>
              <w:t xml:space="preserve"> error with reasons</w:t>
            </w:r>
          </w:p>
          <w:p w14:paraId="0000009B">
            <w:pPr>
              <w:spacing w:after="0"/>
              <w:ind w:hanging="200" w:left="200"/>
            </w:pPr>
            <w:r>
              <w:rPr>
                <w:rFonts w:ascii="Times New Roman" w:hAnsi="Times New Roman" w:eastAsia="Times New Roman" w:cs="Times New Roman"/>
                <w:sz w:val="16"/>
                <w:szCs w:val="16"/>
              </w:rPr>
              <w:t xml:space="preserve">7: </w:t>
            </w:r>
            <w:r>
              <w:rPr>
                <w:rFonts w:ascii="Times New Roman" w:hAnsi="Times New Roman" w:eastAsia="Times New Roman" w:cs="Times New Roman"/>
                <w:i/>
                <w:iCs/>
                <w:sz w:val="16"/>
                <w:szCs w:val="16"/>
              </w:rPr>
              <w:t>o</w:t>
            </w:r>
            <w:r>
              <w:rPr>
                <w:rFonts w:ascii="Times New Roman" w:hAnsi="Times New Roman" w:eastAsia="Times New Roman" w:cs="Times New Roman"/>
                <w:sz w:val="16"/>
                <w:szCs w:val="16"/>
              </w:rPr>
              <w:t xml:space="preserve"> ← </w:t>
            </w:r>
            <w:r>
              <w:rPr>
                <w:rFonts w:ascii="Times New Roman" w:hAnsi="Times New Roman" w:eastAsia="Times New Roman" w:cs="Times New Roman"/>
                <w:i/>
                <w:iCs/>
                <w:sz w:val="16"/>
                <w:szCs w:val="16"/>
              </w:rPr>
              <w:t>f</w:t>
            </w:r>
            <w:r>
              <w:rPr>
                <w:rFonts w:ascii="Times New Roman" w:hAnsi="Times New Roman" w:eastAsia="Times New Roman" w:cs="Times New Roman"/>
                <w:sz w:val="16"/>
                <w:szCs w:val="16"/>
              </w:rPr>
              <w:t>(θ)   ▷ execute the tool</w:t>
            </w:r>
          </w:p>
          <w:p w14:paraId="0000009C">
            <w:pPr>
              <w:spacing w:after="0"/>
              <w:ind w:hanging="200" w:left="200"/>
            </w:pPr>
            <w:r>
              <w:rPr>
                <w:rFonts w:ascii="Times New Roman" w:hAnsi="Times New Roman" w:eastAsia="Times New Roman" w:cs="Times New Roman"/>
                <w:sz w:val="16"/>
                <w:szCs w:val="16"/>
              </w:rPr>
              <w:t xml:space="preserve">8: </w:t>
            </w:r>
            <w:r>
              <w:rPr>
                <w:rFonts w:ascii="Times New Roman" w:hAnsi="Times New Roman" w:eastAsia="Times New Roman" w:cs="Times New Roman"/>
                <w:b/>
                <w:bCs/>
                <w:sz w:val="16"/>
                <w:szCs w:val="16"/>
              </w:rPr>
              <w:t>for each</w:t>
            </w:r>
            <w:r>
              <w:rPr>
                <w:rFonts w:ascii="Times New Roman" w:hAnsi="Times New Roman" w:eastAsia="Times New Roman" w:cs="Times New Roman"/>
                <w:sz w:val="16"/>
                <w:szCs w:val="16"/>
              </w:rPr>
              <w:t xml:space="preserve"> segment </w:t>
            </w:r>
            <w:r>
              <w:rPr>
                <w:rFonts w:ascii="Times New Roman" w:hAnsi="Times New Roman" w:eastAsia="Times New Roman" w:cs="Times New Roman"/>
                <w:i/>
                <w:iCs/>
                <w:sz w:val="16"/>
                <w:szCs w:val="16"/>
              </w:rPr>
              <w:t>s</w:t>
            </w:r>
            <w:r>
              <w:rPr>
                <w:rFonts w:ascii="Times New Roman" w:hAnsi="Times New Roman" w:eastAsia="Times New Roman" w:cs="Times New Roman"/>
                <w:sz w:val="16"/>
                <w:szCs w:val="16"/>
              </w:rPr>
              <w:t xml:space="preserve"> ∈ segments(</w:t>
            </w:r>
            <w:r>
              <w:rPr>
                <w:rFonts w:ascii="Times New Roman" w:hAnsi="Times New Roman" w:eastAsia="Times New Roman" w:cs="Times New Roman"/>
                <w:i/>
                <w:iCs/>
                <w:sz w:val="16"/>
                <w:szCs w:val="16"/>
              </w:rPr>
              <w:t>o</w:t>
            </w:r>
            <w:r>
              <w:rPr>
                <w:rFonts w:ascii="Times New Roman" w:hAnsi="Times New Roman" w:eastAsia="Times New Roman" w:cs="Times New Roman"/>
                <w:sz w:val="16"/>
                <w:szCs w:val="16"/>
              </w:rPr>
              <w:t xml:space="preserve">) </w:t>
            </w:r>
            <w:r>
              <w:rPr>
                <w:rFonts w:ascii="Times New Roman" w:hAnsi="Times New Roman" w:eastAsia="Times New Roman" w:cs="Times New Roman"/>
                <w:b/>
                <w:bCs/>
                <w:sz w:val="16"/>
                <w:szCs w:val="16"/>
              </w:rPr>
              <w:t>do</w:t>
            </w:r>
            <w:r>
              <w:rPr>
                <w:rFonts w:ascii="Times New Roman" w:hAnsi="Times New Roman" w:eastAsia="Times New Roman" w:cs="Times New Roman"/>
                <w:sz w:val="16"/>
                <w:szCs w:val="16"/>
              </w:rPr>
              <w:t xml:space="preserve">   ▷ Layer 1</w:t>
            </w:r>
          </w:p>
          <w:p w14:paraId="0000009D">
            <w:pPr>
              <w:spacing w:after="0"/>
              <w:ind w:hanging="200" w:left="420"/>
            </w:pPr>
            <w:r>
              <w:rPr>
                <w:rFonts w:ascii="Times New Roman" w:hAnsi="Times New Roman" w:eastAsia="Times New Roman" w:cs="Times New Roman"/>
                <w:sz w:val="16"/>
                <w:szCs w:val="16"/>
              </w:rPr>
              <w:t xml:space="preserve">9: </w:t>
            </w:r>
            <w:r>
              <w:rPr>
                <w:rFonts w:ascii="Times New Roman" w:hAnsi="Times New Roman" w:eastAsia="Times New Roman" w:cs="Times New Roman"/>
                <w:b/>
                <w:bCs/>
                <w:sz w:val="16"/>
                <w:szCs w:val="16"/>
              </w:rPr>
              <w:t>if</w:t>
            </w:r>
            <w:r>
              <w:rPr>
                <w:rFonts w:ascii="Times New Roman" w:hAnsi="Times New Roman" w:eastAsia="Times New Roman" w:cs="Times New Roman"/>
                <w:sz w:val="16"/>
                <w:szCs w:val="16"/>
              </w:rPr>
              <w:t xml:space="preserve"> ŝ(</w:t>
            </w:r>
            <w:r>
              <w:rPr>
                <w:rFonts w:ascii="Times New Roman" w:hAnsi="Times New Roman" w:eastAsia="Times New Roman" w:cs="Times New Roman"/>
                <w:i/>
                <w:iCs/>
                <w:sz w:val="16"/>
                <w:szCs w:val="16"/>
              </w:rPr>
              <w:t>s</w:t>
            </w:r>
            <w:r>
              <w:rPr>
                <w:rFonts w:ascii="Times New Roman" w:hAnsi="Times New Roman" w:eastAsia="Times New Roman" w:cs="Times New Roman"/>
                <w:sz w:val="16"/>
                <w:szCs w:val="16"/>
              </w:rPr>
              <w:t xml:space="preserve">) ≥ 0.408 </w:t>
            </w:r>
            <w:r>
              <w:rPr>
                <w:rFonts w:ascii="Times New Roman" w:hAnsi="Times New Roman" w:eastAsia="Times New Roman" w:cs="Times New Roman"/>
                <w:b/>
                <w:bCs/>
                <w:sz w:val="16"/>
                <w:szCs w:val="16"/>
              </w:rPr>
              <w:t>then</w:t>
            </w:r>
            <w:r>
              <w:rPr>
                <w:rFonts w:ascii="Times New Roman" w:hAnsi="Times New Roman" w:eastAsia="Times New Roman" w:cs="Times New Roman"/>
                <w:sz w:val="16"/>
                <w:szCs w:val="16"/>
              </w:rPr>
              <w:t xml:space="preserve"> </w:t>
            </w:r>
            <w:r>
              <w:rPr>
                <w:rFonts w:ascii="Times New Roman" w:hAnsi="Times New Roman" w:eastAsia="Times New Roman" w:cs="Times New Roman"/>
                <w:i/>
                <w:iCs/>
                <w:sz w:val="16"/>
                <w:szCs w:val="16"/>
              </w:rPr>
              <w:t>o</w:t>
            </w:r>
            <w:r>
              <w:rPr>
                <w:rFonts w:ascii="Times New Roman" w:hAnsi="Times New Roman" w:eastAsia="Times New Roman" w:cs="Times New Roman"/>
                <w:sz w:val="16"/>
                <w:szCs w:val="16"/>
              </w:rPr>
              <w:t xml:space="preserve"> ← quarantine(</w:t>
            </w:r>
            <w:r>
              <w:rPr>
                <w:rFonts w:ascii="Times New Roman" w:hAnsi="Times New Roman" w:eastAsia="Times New Roman" w:cs="Times New Roman"/>
                <w:i/>
                <w:iCs/>
                <w:sz w:val="16"/>
                <w:szCs w:val="16"/>
              </w:rPr>
              <w:t>o</w:t>
            </w:r>
            <w:r>
              <w:rPr>
                <w:rFonts w:ascii="Times New Roman" w:hAnsi="Times New Roman" w:eastAsia="Times New Roman" w:cs="Times New Roman"/>
                <w:sz w:val="16"/>
                <w:szCs w:val="16"/>
              </w:rPr>
              <w:t xml:space="preserve">, </w:t>
            </w:r>
            <w:r>
              <w:rPr>
                <w:rFonts w:ascii="Times New Roman" w:hAnsi="Times New Roman" w:eastAsia="Times New Roman" w:cs="Times New Roman"/>
                <w:i/>
                <w:iCs/>
                <w:sz w:val="16"/>
                <w:szCs w:val="16"/>
              </w:rPr>
              <w:t>s</w:t>
            </w:r>
            <w:r>
              <w:rPr>
                <w:rFonts w:ascii="Times New Roman" w:hAnsi="Times New Roman" w:eastAsia="Times New Roman" w:cs="Times New Roman"/>
                <w:sz w:val="16"/>
                <w:szCs w:val="16"/>
              </w:rPr>
              <w:t>); alert(MEDIUM)</w:t>
            </w:r>
          </w:p>
          <w:p w14:paraId="0000009E">
            <w:pPr>
              <w:spacing w:after="0"/>
              <w:ind w:hanging="200" w:left="200"/>
            </w:pPr>
            <w:r>
              <w:rPr>
                <w:rFonts w:ascii="Times New Roman" w:hAnsi="Times New Roman" w:eastAsia="Times New Roman" w:cs="Times New Roman"/>
                <w:sz w:val="16"/>
                <w:szCs w:val="16"/>
              </w:rPr>
              <w:t xml:space="preserve">10: </w:t>
            </w:r>
            <w:r>
              <w:rPr>
                <w:rFonts w:ascii="Times New Roman" w:hAnsi="Times New Roman" w:eastAsia="Times New Roman" w:cs="Times New Roman"/>
                <w:sz w:val="16"/>
                <w:szCs w:val="16"/>
              </w:rPr>
              <w:t>append (</w:t>
            </w:r>
            <w:r>
              <w:rPr>
                <w:rFonts w:ascii="Times New Roman" w:hAnsi="Times New Roman" w:eastAsia="Times New Roman" w:cs="Times New Roman"/>
                <w:i/>
                <w:iCs/>
                <w:sz w:val="16"/>
                <w:szCs w:val="16"/>
              </w:rPr>
              <w:t>a</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rPr>
              <w:t xml:space="preserve">, raw </w:t>
            </w:r>
            <w:r>
              <w:rPr>
                <w:rFonts w:ascii="Times New Roman" w:hAnsi="Times New Roman" w:eastAsia="Times New Roman" w:cs="Times New Roman"/>
                <w:i/>
                <w:iCs/>
                <w:sz w:val="16"/>
                <w:szCs w:val="16"/>
              </w:rPr>
              <w:t>o</w:t>
            </w:r>
            <w:r>
              <w:rPr>
                <w:rFonts w:ascii="Times New Roman" w:hAnsi="Times New Roman" w:eastAsia="Times New Roman" w:cs="Times New Roman"/>
                <w:sz w:val="16"/>
                <w:szCs w:val="16"/>
              </w:rPr>
              <w:t xml:space="preserve">) to </w:t>
            </w:r>
            <w:r>
              <w:rPr>
                <w:rFonts w:ascii="Times New Roman" w:hAnsi="Times New Roman" w:eastAsia="Times New Roman" w:cs="Times New Roman"/>
                <w:i/>
                <w:iCs/>
                <w:sz w:val="16"/>
                <w:szCs w:val="16"/>
              </w:rPr>
              <w:t>H</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rPr>
              <w:t xml:space="preserve">; </w:t>
            </w:r>
            <w:r>
              <w:rPr>
                <w:rFonts w:ascii="Times New Roman" w:hAnsi="Times New Roman" w:eastAsia="Times New Roman" w:cs="Times New Roman"/>
                <w:b/>
                <w:bCs/>
                <w:sz w:val="16"/>
                <w:szCs w:val="16"/>
              </w:rPr>
              <w:t>return</w:t>
            </w:r>
            <w:r>
              <w:rPr>
                <w:rFonts w:ascii="Times New Roman" w:hAnsi="Times New Roman" w:eastAsia="Times New Roman" w:cs="Times New Roman"/>
                <w:sz w:val="16"/>
                <w:szCs w:val="16"/>
              </w:rPr>
              <w:t xml:space="preserve"> sanitised </w:t>
            </w:r>
            <w:r>
              <w:rPr>
                <w:rFonts w:ascii="Times New Roman" w:hAnsi="Times New Roman" w:eastAsia="Times New Roman" w:cs="Times New Roman"/>
                <w:i/>
                <w:iCs/>
                <w:sz w:val="16"/>
                <w:szCs w:val="16"/>
              </w:rPr>
              <w:t>o</w:t>
            </w:r>
          </w:p>
        </w:tc>
      </w:tr>
    </w:tbl>
    <w:p w14:paraId="0000009F">
      <w:pPr>
        <w:spacing w:after="120"/>
      </w:pPr>
    </w:p>
    <w:p w14:paraId="000000A0">
      <w:pPr>
        <w:pStyle w:val="Heading1"/>
        <w:keepNext/>
        <w:spacing w:after="80" w:before="200"/>
        <w:jc w:val="center"/>
      </w:pPr>
      <w:r>
        <w:rPr>
          <w:rFonts w:ascii="Times New Roman" w:hAnsi="Times New Roman" w:eastAsia="Times New Roman" w:cs="Times New Roman"/>
          <w:smallCaps/>
          <w:color w:val="000000"/>
          <w:sz w:val="20"/>
          <w:szCs w:val="20"/>
        </w:rPr>
        <w:t>V. Experimental Setup</w:t>
      </w:r>
    </w:p>
    <w:p w14:paraId="000000A1">
      <w:pPr>
        <w:pStyle w:val="Heading2"/>
        <w:keepNext/>
        <w:spacing w:after="40" w:before="100"/>
      </w:pPr>
      <w:r>
        <w:rPr>
          <w:rFonts w:ascii="Times New Roman" w:hAnsi="Times New Roman" w:eastAsia="Times New Roman" w:cs="Times New Roman"/>
          <w:i/>
          <w:iCs/>
          <w:color w:val="000000"/>
          <w:sz w:val="20"/>
          <w:szCs w:val="20"/>
        </w:rPr>
        <w:t>A. Text Corpora</w:t>
      </w:r>
    </w:p>
    <w:p w14:paraId="000000A2">
      <w:pPr>
        <w:spacing w:after="0" w:line="240"/>
        <w:ind w:firstLine="202"/>
        <w:jc w:val="both"/>
      </w:pPr>
      <w:r>
        <w:rPr>
          <w:rFonts w:ascii="Times New Roman" w:hAnsi="Times New Roman" w:eastAsia="Times New Roman" w:cs="Times New Roman"/>
          <w:sz w:val="20"/>
          <w:szCs w:val="20"/>
        </w:rPr>
        <w:t>Table II lists the Kaggle datasets used for Layer 1. Texts were whitespace-normalised and de-duplicated case-insensitively across all sources, and texts that appeared with contradicting labels were removed. This left 69,072 texts (35.1% injections), split 70/10/20 into training, validation and test sets stratified by source and label. A fourth Kaggle dataset, written independently, was held out entirely as an out-of-distribution (OOD) test set of 586 texts (485 attacks). Because the two transformer detectors run on a CPU at about nine texts per second, they were evaluated on a stratified sample of 5,000 test texts, and a stratified sample of 3,001 validation texts was used to fit the stacker; all models are compared on identical texts.</w:t>
      </w:r>
    </w:p>
    <w:p w14:paraId="000000A3">
      <w:pPr>
        <w:keepNext/>
        <w:spacing w:after="0" w:before="160"/>
        <w:jc w:val="center"/>
      </w:pPr>
      <w:r>
        <w:rPr>
          <w:rFonts w:ascii="Times New Roman" w:hAnsi="Times New Roman" w:eastAsia="Times New Roman" w:cs="Times New Roman"/>
          <w:smallCaps/>
          <w:sz w:val="16"/>
          <w:szCs w:val="16"/>
        </w:rPr>
        <w:t>TABLE II</w:t>
      </w:r>
    </w:p>
    <w:p w14:paraId="000000A4">
      <w:pPr>
        <w:keepNext/>
        <w:spacing w:after="60"/>
        <w:jc w:val="center"/>
      </w:pPr>
      <w:r>
        <w:rPr>
          <w:rFonts w:ascii="Times New Roman" w:hAnsi="Times New Roman" w:eastAsia="Times New Roman" w:cs="Times New Roman"/>
          <w:smallCaps/>
          <w:sz w:val="16"/>
          <w:szCs w:val="16"/>
        </w:rPr>
        <w:t>Kaggle Datasets Used for Content Detection</w:t>
      </w:r>
    </w:p>
    <w:tbl>
      <w:tblPr>
        <w:tblW w:w="5040" w:type="dxa"/>
        <w:jc w:val="center"/>
        <w:tblBorders>
          <w:top w:val="single" w:color="000000" w:sz="6"/>
          <w:left w:val="nil" w:color="FFFFFF" w:sz="0"/>
          <w:bottom w:val="single" w:color="000000" w:sz="6"/>
          <w:right w:val="nil" w:color="FFFFFF" w:sz="0"/>
          <w:insideH w:val="nil" w:color="FFFFFF" w:sz="0"/>
          <w:insideV w:val="nil" w:color="FFFFFF" w:sz="0"/>
        </w:tblBorders>
      </w:tblPr>
      <w:tblGrid>
        <w:gridCol w:w="1720"/>
        <w:gridCol w:w="1960"/>
        <w:gridCol w:w="760"/>
        <w:gridCol w:w="600"/>
      </w:tblGrid>
      <w:tr w14:paraId="000000A5">
        <w:trPr>
          <w:cantSplit/>
          <w:hidden w:val="0"/>
          <w:tblHeader/>
        </w:trPr>
        <w:tc>
          <w:tcPr>
            <w:tcW w:w="172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A6">
            <w:pPr>
              <w:keepNext/>
              <w:jc w:val="left"/>
            </w:pPr>
            <w:r>
              <w:rPr>
                <w:rFonts w:ascii="Times New Roman" w:hAnsi="Times New Roman" w:eastAsia="Times New Roman" w:cs="Times New Roman"/>
                <w:b/>
                <w:bCs/>
                <w:sz w:val="15"/>
                <w:szCs w:val="15"/>
              </w:rPr>
              <w:t>Dataset</w:t>
            </w:r>
          </w:p>
        </w:tc>
        <w:tc>
          <w:tcPr>
            <w:tcW w:w="196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A7">
            <w:pPr>
              <w:keepNext/>
              <w:jc w:val="left"/>
            </w:pPr>
            <w:r>
              <w:rPr>
                <w:rFonts w:ascii="Times New Roman" w:hAnsi="Times New Roman" w:eastAsia="Times New Roman" w:cs="Times New Roman"/>
                <w:b/>
                <w:bCs/>
                <w:sz w:val="15"/>
                <w:szCs w:val="15"/>
              </w:rPr>
              <w:t>Content</w:t>
            </w:r>
          </w:p>
        </w:tc>
        <w:tc>
          <w:tcPr>
            <w:tcW w:w="76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A8">
            <w:pPr>
              <w:keepNext/>
              <w:jc w:val="center"/>
            </w:pPr>
            <w:r>
              <w:rPr>
                <w:rFonts w:ascii="Times New Roman" w:hAnsi="Times New Roman" w:eastAsia="Times New Roman" w:cs="Times New Roman"/>
                <w:b/>
                <w:bCs/>
                <w:sz w:val="15"/>
                <w:szCs w:val="15"/>
              </w:rPr>
              <w:t>Texts</w:t>
            </w:r>
          </w:p>
        </w:tc>
        <w:tc>
          <w:tcPr>
            <w:tcW w:w="60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A9">
            <w:pPr>
              <w:keepNext/>
              <w:jc w:val="center"/>
            </w:pPr>
            <w:r>
              <w:rPr>
                <w:rFonts w:ascii="Times New Roman" w:hAnsi="Times New Roman" w:eastAsia="Times New Roman" w:cs="Times New Roman"/>
                <w:b/>
                <w:bCs/>
                <w:sz w:val="15"/>
                <w:szCs w:val="15"/>
              </w:rPr>
              <w:t>Inj.</w:t>
            </w:r>
          </w:p>
        </w:tc>
      </w:tr>
      <w:tr w14:paraId="000000AA">
        <w:trPr>
          <w:cantSplit/>
          <w:hidden w:val="0"/>
        </w:trPr>
        <w:tc>
          <w:tcPr>
            <w:tcW w:w="17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AB">
            <w:pPr>
              <w:keepNext/>
              <w:jc w:val="left"/>
            </w:pPr>
            <w:r>
              <w:rPr>
                <w:rFonts w:ascii="Times New Roman" w:hAnsi="Times New Roman" w:eastAsia="Times New Roman" w:cs="Times New Roman"/>
                <w:b w:val="0"/>
                <w:bCs w:val="0"/>
                <w:sz w:val="15"/>
                <w:szCs w:val="15"/>
              </w:rPr>
              <w:t xml:space="preserve">AI Agent Cybersecurity 2026 </w:t>
            </w:r>
            <w:r>
              <w:rPr>
                <w:rFonts w:ascii="Times New Roman" w:hAnsi="Times New Roman" w:eastAsia="Times New Roman" w:cs="Times New Roman"/>
                <w:b w:val="0"/>
                <w:bCs w:val="0"/>
                <w:sz w:val="15"/>
                <w:szCs w:val="15"/>
              </w:rPr>
              <w:t>[28]</w:t>
            </w:r>
          </w:p>
        </w:tc>
        <w:tc>
          <w:tcPr>
            <w:tcW w:w="196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AC">
            <w:pPr>
              <w:keepNext/>
              <w:jc w:val="left"/>
            </w:pPr>
            <w:r>
              <w:rPr>
                <w:rFonts w:ascii="Times New Roman" w:hAnsi="Times New Roman" w:eastAsia="Times New Roman" w:cs="Times New Roman"/>
                <w:b w:val="0"/>
                <w:bCs w:val="0"/>
                <w:sz w:val="15"/>
                <w:szCs w:val="15"/>
              </w:rPr>
              <w:t>S-Labs and deepset injections</w:t>
            </w:r>
          </w:p>
        </w:tc>
        <w:tc>
          <w:tcPr>
            <w:tcW w:w="76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AD">
            <w:pPr>
              <w:keepNext/>
              <w:jc w:val="center"/>
            </w:pPr>
            <w:r>
              <w:rPr>
                <w:rFonts w:ascii="Times New Roman" w:hAnsi="Times New Roman" w:eastAsia="Times New Roman" w:cs="Times New Roman"/>
                <w:b w:val="0"/>
                <w:bCs w:val="0"/>
                <w:sz w:val="15"/>
                <w:szCs w:val="15"/>
              </w:rPr>
              <w:t>11,267</w:t>
            </w:r>
          </w:p>
        </w:tc>
        <w:tc>
          <w:tcPr>
            <w:tcW w:w="6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AE">
            <w:pPr>
              <w:keepNext/>
              <w:jc w:val="center"/>
            </w:pPr>
            <w:r>
              <w:rPr>
                <w:rFonts w:ascii="Times New Roman" w:hAnsi="Times New Roman" w:eastAsia="Times New Roman" w:cs="Times New Roman"/>
                <w:b w:val="0"/>
                <w:bCs w:val="0"/>
                <w:sz w:val="15"/>
                <w:szCs w:val="15"/>
              </w:rPr>
              <w:t>4,785</w:t>
            </w:r>
          </w:p>
        </w:tc>
      </w:tr>
      <w:tr w14:paraId="000000AF">
        <w:trPr>
          <w:cantSplit/>
          <w:hidden w:val="0"/>
        </w:trPr>
        <w:tc>
          <w:tcPr>
            <w:tcW w:w="17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0">
            <w:pPr>
              <w:keepNext/>
              <w:jc w:val="left"/>
            </w:pPr>
            <w:r>
              <w:rPr>
                <w:rFonts w:ascii="Times New Roman" w:hAnsi="Times New Roman" w:eastAsia="Times New Roman" w:cs="Times New Roman"/>
                <w:b w:val="0"/>
                <w:bCs w:val="0"/>
                <w:sz w:val="15"/>
                <w:szCs w:val="15"/>
              </w:rPr>
              <w:t xml:space="preserve">Prompt Injection &amp; Jailbreak Detection </w:t>
            </w:r>
            <w:r>
              <w:rPr>
                <w:rFonts w:ascii="Times New Roman" w:hAnsi="Times New Roman" w:eastAsia="Times New Roman" w:cs="Times New Roman"/>
                <w:b w:val="0"/>
                <w:bCs w:val="0"/>
                <w:sz w:val="15"/>
                <w:szCs w:val="15"/>
              </w:rPr>
              <w:t>[29]</w:t>
            </w:r>
          </w:p>
        </w:tc>
        <w:tc>
          <w:tcPr>
            <w:tcW w:w="196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1">
            <w:pPr>
              <w:keepNext/>
              <w:jc w:val="left"/>
            </w:pPr>
            <w:r>
              <w:rPr>
                <w:rFonts w:ascii="Times New Roman" w:hAnsi="Times New Roman" w:eastAsia="Times New Roman" w:cs="Times New Roman"/>
                <w:b w:val="0"/>
                <w:bCs w:val="0"/>
                <w:sz w:val="15"/>
                <w:szCs w:val="15"/>
              </w:rPr>
              <w:t>JailbreakHub, Alpaca, deepset lineage</w:t>
            </w:r>
          </w:p>
        </w:tc>
        <w:tc>
          <w:tcPr>
            <w:tcW w:w="76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2">
            <w:pPr>
              <w:keepNext/>
              <w:jc w:val="center"/>
            </w:pPr>
            <w:r>
              <w:rPr>
                <w:rFonts w:ascii="Times New Roman" w:hAnsi="Times New Roman" w:eastAsia="Times New Roman" w:cs="Times New Roman"/>
                <w:b w:val="0"/>
                <w:bCs w:val="0"/>
                <w:sz w:val="15"/>
                <w:szCs w:val="15"/>
              </w:rPr>
              <w:t>18,855</w:t>
            </w:r>
          </w:p>
        </w:tc>
        <w:tc>
          <w:tcPr>
            <w:tcW w:w="6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3">
            <w:pPr>
              <w:keepNext/>
              <w:jc w:val="center"/>
            </w:pPr>
            <w:r>
              <w:rPr>
                <w:rFonts w:ascii="Times New Roman" w:hAnsi="Times New Roman" w:eastAsia="Times New Roman" w:cs="Times New Roman"/>
                <w:b w:val="0"/>
                <w:bCs w:val="0"/>
                <w:sz w:val="15"/>
                <w:szCs w:val="15"/>
              </w:rPr>
              <w:t>108</w:t>
            </w:r>
          </w:p>
        </w:tc>
      </w:tr>
      <w:tr w14:paraId="000000B4">
        <w:trPr>
          <w:cantSplit/>
          <w:hidden w:val="0"/>
        </w:trPr>
        <w:tc>
          <w:tcPr>
            <w:tcW w:w="17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5">
            <w:pPr>
              <w:keepNext/>
              <w:jc w:val="left"/>
            </w:pPr>
            <w:r>
              <w:rPr>
                <w:rFonts w:ascii="Times New Roman" w:hAnsi="Times New Roman" w:eastAsia="Times New Roman" w:cs="Times New Roman"/>
                <w:b w:val="0"/>
                <w:bCs w:val="0"/>
                <w:sz w:val="15"/>
                <w:szCs w:val="15"/>
              </w:rPr>
              <w:t xml:space="preserve">Malicious Prompt Detection (MPDD) </w:t>
            </w:r>
            <w:r>
              <w:rPr>
                <w:rFonts w:ascii="Times New Roman" w:hAnsi="Times New Roman" w:eastAsia="Times New Roman" w:cs="Times New Roman"/>
                <w:b w:val="0"/>
                <w:bCs w:val="0"/>
                <w:sz w:val="15"/>
                <w:szCs w:val="15"/>
              </w:rPr>
              <w:t>[30]</w:t>
            </w:r>
          </w:p>
        </w:tc>
        <w:tc>
          <w:tcPr>
            <w:tcW w:w="196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6">
            <w:pPr>
              <w:keepNext/>
              <w:jc w:val="left"/>
            </w:pPr>
            <w:r>
              <w:rPr>
                <w:rFonts w:ascii="Times New Roman" w:hAnsi="Times New Roman" w:eastAsia="Times New Roman" w:cs="Times New Roman"/>
                <w:b w:val="0"/>
                <w:bCs w:val="0"/>
                <w:sz w:val="15"/>
                <w:szCs w:val="15"/>
              </w:rPr>
              <w:t>malicious and benign prompts</w:t>
            </w:r>
          </w:p>
        </w:tc>
        <w:tc>
          <w:tcPr>
            <w:tcW w:w="76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7">
            <w:pPr>
              <w:keepNext/>
              <w:jc w:val="center"/>
            </w:pPr>
            <w:r>
              <w:rPr>
                <w:rFonts w:ascii="Times New Roman" w:hAnsi="Times New Roman" w:eastAsia="Times New Roman" w:cs="Times New Roman"/>
                <w:b w:val="0"/>
                <w:bCs w:val="0"/>
                <w:sz w:val="15"/>
                <w:szCs w:val="15"/>
              </w:rPr>
              <w:t>38,950</w:t>
            </w:r>
          </w:p>
        </w:tc>
        <w:tc>
          <w:tcPr>
            <w:tcW w:w="6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8">
            <w:pPr>
              <w:keepNext/>
              <w:jc w:val="center"/>
            </w:pPr>
            <w:r>
              <w:rPr>
                <w:rFonts w:ascii="Times New Roman" w:hAnsi="Times New Roman" w:eastAsia="Times New Roman" w:cs="Times New Roman"/>
                <w:b w:val="0"/>
                <w:bCs w:val="0"/>
                <w:sz w:val="15"/>
                <w:szCs w:val="15"/>
              </w:rPr>
              <w:t>19,336</w:t>
            </w:r>
          </w:p>
        </w:tc>
      </w:tr>
      <w:tr w14:paraId="000000B9">
        <w:trPr>
          <w:cantSplit/>
          <w:hidden w:val="0"/>
        </w:trPr>
        <w:tc>
          <w:tcPr>
            <w:tcW w:w="17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A">
            <w:pPr>
              <w:keepNext w:val="0"/>
              <w:jc w:val="left"/>
            </w:pPr>
            <w:r>
              <w:rPr>
                <w:rFonts w:ascii="Times New Roman" w:hAnsi="Times New Roman" w:eastAsia="Times New Roman" w:cs="Times New Roman"/>
                <w:b w:val="0"/>
                <w:bCs w:val="0"/>
                <w:sz w:val="15"/>
                <w:szCs w:val="15"/>
              </w:rPr>
              <w:t xml:space="preserve">LLM Prompt Injection Classification </w:t>
            </w:r>
            <w:r>
              <w:rPr>
                <w:rFonts w:ascii="Times New Roman" w:hAnsi="Times New Roman" w:eastAsia="Times New Roman" w:cs="Times New Roman"/>
                <w:b w:val="0"/>
                <w:bCs w:val="0"/>
                <w:sz w:val="15"/>
                <w:szCs w:val="15"/>
              </w:rPr>
              <w:t>[31]</w:t>
            </w:r>
          </w:p>
        </w:tc>
        <w:tc>
          <w:tcPr>
            <w:tcW w:w="196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B">
            <w:pPr>
              <w:keepNext w:val="0"/>
              <w:jc w:val="left"/>
            </w:pPr>
            <w:r>
              <w:rPr>
                <w:rFonts w:ascii="Times New Roman" w:hAnsi="Times New Roman" w:eastAsia="Times New Roman" w:cs="Times New Roman"/>
                <w:b w:val="0"/>
                <w:bCs w:val="0"/>
                <w:sz w:val="15"/>
                <w:szCs w:val="15"/>
              </w:rPr>
              <w:t>six attack categories; OOD test only</w:t>
            </w:r>
          </w:p>
        </w:tc>
        <w:tc>
          <w:tcPr>
            <w:tcW w:w="76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C">
            <w:pPr>
              <w:keepNext w:val="0"/>
              <w:jc w:val="center"/>
            </w:pPr>
            <w:r>
              <w:rPr>
                <w:rFonts w:ascii="Times New Roman" w:hAnsi="Times New Roman" w:eastAsia="Times New Roman" w:cs="Times New Roman"/>
                <w:b w:val="0"/>
                <w:bCs w:val="0"/>
                <w:sz w:val="15"/>
                <w:szCs w:val="15"/>
              </w:rPr>
              <w:t>586</w:t>
            </w:r>
          </w:p>
        </w:tc>
        <w:tc>
          <w:tcPr>
            <w:tcW w:w="6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BD">
            <w:pPr>
              <w:keepNext w:val="0"/>
              <w:jc w:val="center"/>
            </w:pPr>
            <w:r>
              <w:rPr>
                <w:rFonts w:ascii="Times New Roman" w:hAnsi="Times New Roman" w:eastAsia="Times New Roman" w:cs="Times New Roman"/>
                <w:b w:val="0"/>
                <w:bCs w:val="0"/>
                <w:sz w:val="15"/>
                <w:szCs w:val="15"/>
              </w:rPr>
              <w:t>485</w:t>
            </w:r>
          </w:p>
        </w:tc>
      </w:tr>
    </w:tbl>
    <w:p w14:paraId="000000BE">
      <w:pPr>
        <w:spacing w:after="140"/>
        <w:jc w:val="left"/>
      </w:pPr>
      <w:r>
        <w:rPr>
          <w:rFonts w:ascii="Times New Roman" w:hAnsi="Times New Roman" w:eastAsia="Times New Roman" w:cs="Times New Roman"/>
          <w:sz w:val="14"/>
          <w:szCs w:val="14"/>
        </w:rPr>
        <w:t>Counts after cross-dataset de-duplication; duplicates are attributed to the first source.</w:t>
      </w:r>
    </w:p>
    <w:p w14:paraId="000000BF">
      <w:pPr>
        <w:pStyle w:val="Heading2"/>
        <w:keepNext/>
        <w:spacing w:after="40" w:before="100"/>
      </w:pPr>
      <w:r>
        <w:rPr>
          <w:rFonts w:ascii="Times New Roman" w:hAnsi="Times New Roman" w:eastAsia="Times New Roman" w:cs="Times New Roman"/>
          <w:i/>
          <w:iCs/>
          <w:color w:val="000000"/>
          <w:sz w:val="20"/>
          <w:szCs w:val="20"/>
        </w:rPr>
        <w:t>B. Benchmark Models</w:t>
      </w:r>
    </w:p>
    <w:p w14:paraId="000000C0">
      <w:pPr>
        <w:spacing w:after="0" w:line="240"/>
        <w:ind w:firstLine="202"/>
        <w:jc w:val="both"/>
      </w:pPr>
      <w:r>
        <w:rPr>
          <w:rFonts w:ascii="Times New Roman" w:hAnsi="Times New Roman" w:eastAsia="Times New Roman" w:cs="Times New Roman"/>
          <w:sz w:val="20"/>
          <w:szCs w:val="20"/>
        </w:rPr>
        <w:t xml:space="preserve">Two prompt-injection detectors hosted on Kaggle Models were evaluated without fine-tuning: a mirror of ProtectAI's DeBERTa-v3-base detector </w:t>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t xml:space="preserve"> and Wolf Defender </w:t>
      </w:r>
      <w:r>
        <w:rPr>
          <w:rFonts w:ascii="Times New Roman" w:hAnsi="Times New Roman" w:eastAsia="Times New Roman" w:cs="Times New Roman"/>
          <w:sz w:val="20"/>
          <w:szCs w:val="20"/>
        </w:rPr>
        <w:t>[23]</w:t>
      </w:r>
      <w:r>
        <w:rPr>
          <w:rFonts w:ascii="Times New Roman" w:hAnsi="Times New Roman" w:eastAsia="Times New Roman" w:cs="Times New Roman"/>
          <w:sz w:val="20"/>
          <w:szCs w:val="20"/>
        </w:rPr>
        <w:t xml:space="preserve">. Meta's Llama Prompt Guard (86M)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t xml:space="preserve"> is also hosted on Kaggle but is licence-gated and was not included. Inputs were truncated to 512 tokens.</w:t>
      </w:r>
    </w:p>
    <w:p w14:paraId="000000C1">
      <w:pPr>
        <w:pStyle w:val="Heading2"/>
        <w:keepNext/>
        <w:spacing w:after="40" w:before="100"/>
      </w:pPr>
      <w:r>
        <w:rPr>
          <w:rFonts w:ascii="Times New Roman" w:hAnsi="Times New Roman" w:eastAsia="Times New Roman" w:cs="Times New Roman"/>
          <w:i/>
          <w:iCs/>
          <w:color w:val="000000"/>
          <w:sz w:val="20"/>
          <w:szCs w:val="20"/>
        </w:rPr>
        <w:t>C. Agent Traces</w:t>
      </w:r>
    </w:p>
    <w:p w14:paraId="000000C2">
      <w:pPr>
        <w:spacing w:after="0" w:line="240"/>
        <w:ind w:firstLine="202"/>
        <w:jc w:val="both"/>
      </w:pPr>
      <w:r>
        <w:rPr>
          <w:rFonts w:ascii="Times New Roman" w:hAnsi="Times New Roman" w:eastAsia="Times New Roman" w:cs="Times New Roman"/>
          <w:sz w:val="20"/>
          <w:szCs w:val="20"/>
        </w:rPr>
        <w:t xml:space="preserve">We converted InjecAgent </w:t>
      </w:r>
      <w:r>
        <w:rPr>
          <w:rFonts w:ascii="Times New Roman" w:hAnsi="Times New Roman" w:eastAsia="Times New Roman" w:cs="Times New Roman"/>
          <w:sz w:val="20"/>
          <w:szCs w:val="20"/>
        </w:rPr>
        <w:t>[5]</w:t>
      </w:r>
      <w:r>
        <w:rPr>
          <w:rFonts w:ascii="Times New Roman" w:hAnsi="Times New Roman" w:eastAsia="Times New Roman" w:cs="Times New Roman"/>
          <w:sz w:val="20"/>
          <w:szCs w:val="20"/>
        </w:rPr>
        <w:t xml:space="preserve"> into multi-step traces of user goal, tool calls and observations. For each pair of a user case (17) and an attacker case (62: 30 direct-harm and 32 data-stealing) we generate the five scenarios of Table III. Injected observations are taken verbatim from InjecAgent in its base and enhanced variants; clean observations replace the injection slot with benign texts from the Layer-1 test split. Attacker-tool arguments are derived from the attacker instruction, and data-stealing traces read private data using InjecAgent's simulated tool responses before calling </w:t>
      </w:r>
      <w:r>
        <w:rPr>
          <w:rFonts w:ascii="Times New Roman" w:hAnsi="Times New Roman" w:eastAsia="Times New Roman" w:cs="Times New Roman"/>
          <w:i/>
          <w:iCs/>
          <w:sz w:val="20"/>
          <w:szCs w:val="20"/>
        </w:rPr>
        <w:t>GmailSendEmail</w:t>
      </w:r>
      <w:r>
        <w:rPr>
          <w:rFonts w:ascii="Times New Roman" w:hAnsi="Times New Roman" w:eastAsia="Times New Roman" w:cs="Times New Roman"/>
          <w:sz w:val="20"/>
          <w:szCs w:val="20"/>
        </w:rPr>
        <w:t xml:space="preserve"> with that data. Scenarios D and E are hard negatives: the user explicitly requests the same sensitive actions with identical tools and arguments, so a monitor that relies on tool type alone must fail. In total there are 8,432 traces with 16,428 tool calls, of which 3,196 are hijacked.</w:t>
      </w:r>
    </w:p>
    <w:p w14:paraId="000000C3">
      <w:pPr>
        <w:keepNext/>
        <w:spacing w:after="0" w:before="160"/>
        <w:jc w:val="center"/>
      </w:pPr>
      <w:r>
        <w:rPr>
          <w:rFonts w:ascii="Times New Roman" w:hAnsi="Times New Roman" w:eastAsia="Times New Roman" w:cs="Times New Roman"/>
          <w:smallCaps/>
          <w:sz w:val="16"/>
          <w:szCs w:val="16"/>
        </w:rPr>
        <w:t>TABLE III</w:t>
      </w:r>
    </w:p>
    <w:p w14:paraId="000000C4">
      <w:pPr>
        <w:keepNext/>
        <w:spacing w:after="60"/>
        <w:jc w:val="center"/>
      </w:pPr>
      <w:r>
        <w:rPr>
          <w:rFonts w:ascii="Times New Roman" w:hAnsi="Times New Roman" w:eastAsia="Times New Roman" w:cs="Times New Roman"/>
          <w:smallCaps/>
          <w:sz w:val="16"/>
          <w:szCs w:val="16"/>
        </w:rPr>
        <w:t>Agent Trace Scenarios Derived from InjecAgent</w:t>
      </w:r>
    </w:p>
    <w:tbl>
      <w:tblPr>
        <w:tblW w:w="5040" w:type="dxa"/>
        <w:jc w:val="center"/>
        <w:tblBorders>
          <w:top w:val="single" w:color="000000" w:sz="6"/>
          <w:left w:val="nil" w:color="FFFFFF" w:sz="0"/>
          <w:bottom w:val="single" w:color="000000" w:sz="6"/>
          <w:right w:val="nil" w:color="FFFFFF" w:sz="0"/>
          <w:insideH w:val="nil" w:color="FFFFFF" w:sz="0"/>
          <w:insideV w:val="nil" w:color="FFFFFF" w:sz="0"/>
        </w:tblBorders>
      </w:tblPr>
      <w:tblGrid>
        <w:gridCol w:w="1400"/>
        <w:gridCol w:w="1980"/>
        <w:gridCol w:w="620"/>
        <w:gridCol w:w="1040"/>
      </w:tblGrid>
      <w:tr w14:paraId="000000C5">
        <w:trPr>
          <w:cantSplit/>
          <w:hidden w:val="0"/>
          <w:tblHeader/>
        </w:trPr>
        <w:tc>
          <w:tcPr>
            <w:tcW w:w="140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C6">
            <w:pPr>
              <w:keepNext/>
              <w:jc w:val="left"/>
            </w:pPr>
            <w:r>
              <w:rPr>
                <w:rFonts w:ascii="Times New Roman" w:hAnsi="Times New Roman" w:eastAsia="Times New Roman" w:cs="Times New Roman"/>
                <w:b/>
                <w:bCs/>
                <w:sz w:val="15"/>
                <w:szCs w:val="15"/>
              </w:rPr>
              <w:t>Scenario</w:t>
            </w:r>
          </w:p>
        </w:tc>
        <w:tc>
          <w:tcPr>
            <w:tcW w:w="198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C7">
            <w:pPr>
              <w:keepNext/>
              <w:jc w:val="left"/>
            </w:pPr>
            <w:r>
              <w:rPr>
                <w:rFonts w:ascii="Times New Roman" w:hAnsi="Times New Roman" w:eastAsia="Times New Roman" w:cs="Times New Roman"/>
                <w:b/>
                <w:bCs/>
                <w:sz w:val="15"/>
                <w:szCs w:val="15"/>
              </w:rPr>
              <w:t>Description</w:t>
            </w:r>
          </w:p>
        </w:tc>
        <w:tc>
          <w:tcPr>
            <w:tcW w:w="62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C8">
            <w:pPr>
              <w:keepNext/>
              <w:jc w:val="center"/>
            </w:pPr>
            <w:r>
              <w:rPr>
                <w:rFonts w:ascii="Times New Roman" w:hAnsi="Times New Roman" w:eastAsia="Times New Roman" w:cs="Times New Roman"/>
                <w:b/>
                <w:bCs/>
                <w:sz w:val="15"/>
                <w:szCs w:val="15"/>
              </w:rPr>
              <w:t>Traces</w:t>
            </w:r>
          </w:p>
        </w:tc>
        <w:tc>
          <w:tcPr>
            <w:tcW w:w="104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C9">
            <w:pPr>
              <w:keepNext/>
              <w:jc w:val="center"/>
            </w:pPr>
            <w:r>
              <w:rPr>
                <w:rFonts w:ascii="Times New Roman" w:hAnsi="Times New Roman" w:eastAsia="Times New Roman" w:cs="Times New Roman"/>
                <w:b/>
                <w:bCs/>
                <w:sz w:val="15"/>
                <w:szCs w:val="15"/>
              </w:rPr>
              <w:t>Calls (hij.)</w:t>
            </w:r>
          </w:p>
        </w:tc>
      </w:tr>
      <w:tr w14:paraId="000000CA">
        <w:trPr>
          <w:cantSplit/>
          <w:hidden w:val="0"/>
        </w:trPr>
        <w:tc>
          <w:tcPr>
            <w:tcW w:w="14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CB">
            <w:pPr>
              <w:keepNext/>
              <w:jc w:val="left"/>
            </w:pPr>
            <w:r>
              <w:rPr>
                <w:rFonts w:ascii="Times New Roman" w:hAnsi="Times New Roman" w:eastAsia="Times New Roman" w:cs="Times New Roman"/>
                <w:b w:val="0"/>
                <w:bCs w:val="0"/>
                <w:sz w:val="15"/>
                <w:szCs w:val="15"/>
              </w:rPr>
              <w:t>A. Benign</w:t>
            </w:r>
          </w:p>
        </w:tc>
        <w:tc>
          <w:tcPr>
            <w:tcW w:w="19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CC">
            <w:pPr>
              <w:keepNext/>
              <w:jc w:val="left"/>
            </w:pPr>
            <w:r>
              <w:rPr>
                <w:rFonts w:ascii="Times New Roman" w:hAnsi="Times New Roman" w:eastAsia="Times New Roman" w:cs="Times New Roman"/>
                <w:b w:val="0"/>
                <w:bCs w:val="0"/>
                <w:sz w:val="15"/>
                <w:szCs w:val="15"/>
              </w:rPr>
              <w:t>clean output, user task only</w:t>
            </w:r>
          </w:p>
        </w:tc>
        <w:tc>
          <w:tcPr>
            <w:tcW w:w="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CD">
            <w:pPr>
              <w:keepNext/>
              <w:jc w:val="center"/>
            </w:pPr>
            <w:r>
              <w:rPr>
                <w:rFonts w:ascii="Times New Roman" w:hAnsi="Times New Roman" w:eastAsia="Times New Roman" w:cs="Times New Roman"/>
                <w:b w:val="0"/>
                <w:bCs w:val="0"/>
                <w:sz w:val="15"/>
                <w:szCs w:val="15"/>
              </w:rPr>
              <w:t>1,054</w:t>
            </w:r>
          </w:p>
        </w:tc>
        <w:tc>
          <w:tcPr>
            <w:tcW w:w="10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CE">
            <w:pPr>
              <w:keepNext/>
              <w:jc w:val="center"/>
            </w:pPr>
            <w:r>
              <w:rPr>
                <w:rFonts w:ascii="Times New Roman" w:hAnsi="Times New Roman" w:eastAsia="Times New Roman" w:cs="Times New Roman"/>
                <w:b w:val="0"/>
                <w:bCs w:val="0"/>
                <w:sz w:val="15"/>
                <w:szCs w:val="15"/>
              </w:rPr>
              <w:t>1,054 (0)</w:t>
            </w:r>
          </w:p>
        </w:tc>
      </w:tr>
      <w:tr w14:paraId="000000CF">
        <w:trPr>
          <w:cantSplit/>
          <w:hidden w:val="0"/>
        </w:trPr>
        <w:tc>
          <w:tcPr>
            <w:tcW w:w="14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0">
            <w:pPr>
              <w:keepNext/>
              <w:jc w:val="left"/>
            </w:pPr>
            <w:r>
              <w:rPr>
                <w:rFonts w:ascii="Times New Roman" w:hAnsi="Times New Roman" w:eastAsia="Times New Roman" w:cs="Times New Roman"/>
                <w:b w:val="0"/>
                <w:bCs w:val="0"/>
                <w:sz w:val="15"/>
                <w:szCs w:val="15"/>
              </w:rPr>
              <w:t>B. Injected, resisted</w:t>
            </w:r>
          </w:p>
        </w:tc>
        <w:tc>
          <w:tcPr>
            <w:tcW w:w="19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1">
            <w:pPr>
              <w:keepNext/>
              <w:jc w:val="left"/>
            </w:pPr>
            <w:r>
              <w:rPr>
                <w:rFonts w:ascii="Times New Roman" w:hAnsi="Times New Roman" w:eastAsia="Times New Roman" w:cs="Times New Roman"/>
                <w:b w:val="0"/>
                <w:bCs w:val="0"/>
                <w:sz w:val="15"/>
                <w:szCs w:val="15"/>
              </w:rPr>
              <w:t>injection present, agent ignores it</w:t>
            </w:r>
          </w:p>
        </w:tc>
        <w:tc>
          <w:tcPr>
            <w:tcW w:w="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2">
            <w:pPr>
              <w:keepNext/>
              <w:jc w:val="center"/>
            </w:pPr>
            <w:r>
              <w:rPr>
                <w:rFonts w:ascii="Times New Roman" w:hAnsi="Times New Roman" w:eastAsia="Times New Roman" w:cs="Times New Roman"/>
                <w:b w:val="0"/>
                <w:bCs w:val="0"/>
                <w:sz w:val="15"/>
                <w:szCs w:val="15"/>
              </w:rPr>
              <w:t>2,108</w:t>
            </w:r>
          </w:p>
        </w:tc>
        <w:tc>
          <w:tcPr>
            <w:tcW w:w="10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3">
            <w:pPr>
              <w:keepNext/>
              <w:jc w:val="center"/>
            </w:pPr>
            <w:r>
              <w:rPr>
                <w:rFonts w:ascii="Times New Roman" w:hAnsi="Times New Roman" w:eastAsia="Times New Roman" w:cs="Times New Roman"/>
                <w:b w:val="0"/>
                <w:bCs w:val="0"/>
                <w:sz w:val="15"/>
                <w:szCs w:val="15"/>
              </w:rPr>
              <w:t>2,108 (0)</w:t>
            </w:r>
          </w:p>
        </w:tc>
      </w:tr>
      <w:tr w14:paraId="000000D4">
        <w:trPr>
          <w:cantSplit/>
          <w:hidden w:val="0"/>
        </w:trPr>
        <w:tc>
          <w:tcPr>
            <w:tcW w:w="14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5">
            <w:pPr>
              <w:keepNext/>
              <w:jc w:val="left"/>
            </w:pPr>
            <w:r>
              <w:rPr>
                <w:rFonts w:ascii="Times New Roman" w:hAnsi="Times New Roman" w:eastAsia="Times New Roman" w:cs="Times New Roman"/>
                <w:b w:val="0"/>
                <w:bCs w:val="0"/>
                <w:sz w:val="15"/>
                <w:szCs w:val="15"/>
              </w:rPr>
              <w:t>C. Injected, hijacked</w:t>
            </w:r>
          </w:p>
        </w:tc>
        <w:tc>
          <w:tcPr>
            <w:tcW w:w="19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6">
            <w:pPr>
              <w:keepNext/>
              <w:jc w:val="left"/>
            </w:pPr>
            <w:r>
              <w:rPr>
                <w:rFonts w:ascii="Times New Roman" w:hAnsi="Times New Roman" w:eastAsia="Times New Roman" w:cs="Times New Roman"/>
                <w:b w:val="0"/>
                <w:bCs w:val="0"/>
                <w:sz w:val="15"/>
                <w:szCs w:val="15"/>
              </w:rPr>
              <w:t>agent executes attacker calls</w:t>
            </w:r>
          </w:p>
        </w:tc>
        <w:tc>
          <w:tcPr>
            <w:tcW w:w="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7">
            <w:pPr>
              <w:keepNext/>
              <w:jc w:val="center"/>
            </w:pPr>
            <w:r>
              <w:rPr>
                <w:rFonts w:ascii="Times New Roman" w:hAnsi="Times New Roman" w:eastAsia="Times New Roman" w:cs="Times New Roman"/>
                <w:b w:val="0"/>
                <w:bCs w:val="0"/>
                <w:sz w:val="15"/>
                <w:szCs w:val="15"/>
              </w:rPr>
              <w:t>2,108</w:t>
            </w:r>
          </w:p>
        </w:tc>
        <w:tc>
          <w:tcPr>
            <w:tcW w:w="10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8">
            <w:pPr>
              <w:keepNext/>
              <w:jc w:val="center"/>
            </w:pPr>
            <w:r>
              <w:rPr>
                <w:rFonts w:ascii="Times New Roman" w:hAnsi="Times New Roman" w:eastAsia="Times New Roman" w:cs="Times New Roman"/>
                <w:b w:val="0"/>
                <w:bCs w:val="0"/>
                <w:sz w:val="15"/>
                <w:szCs w:val="15"/>
              </w:rPr>
              <w:t>5,304 (3,196)</w:t>
            </w:r>
          </w:p>
        </w:tc>
      </w:tr>
      <w:tr w14:paraId="000000D9">
        <w:trPr>
          <w:cantSplit/>
          <w:hidden w:val="0"/>
        </w:trPr>
        <w:tc>
          <w:tcPr>
            <w:tcW w:w="14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A">
            <w:pPr>
              <w:keepNext/>
              <w:jc w:val="left"/>
            </w:pPr>
            <w:r>
              <w:rPr>
                <w:rFonts w:ascii="Times New Roman" w:hAnsi="Times New Roman" w:eastAsia="Times New Roman" w:cs="Times New Roman"/>
                <w:b w:val="0"/>
                <w:bCs w:val="0"/>
                <w:sz w:val="15"/>
                <w:szCs w:val="15"/>
              </w:rPr>
              <w:t>D. Benign sensitive</w:t>
            </w:r>
          </w:p>
        </w:tc>
        <w:tc>
          <w:tcPr>
            <w:tcW w:w="19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B">
            <w:pPr>
              <w:keepNext/>
              <w:jc w:val="left"/>
            </w:pPr>
            <w:r>
              <w:rPr>
                <w:rFonts w:ascii="Times New Roman" w:hAnsi="Times New Roman" w:eastAsia="Times New Roman" w:cs="Times New Roman"/>
                <w:b w:val="0"/>
                <w:bCs w:val="0"/>
                <w:sz w:val="15"/>
                <w:szCs w:val="15"/>
              </w:rPr>
              <w:t>user requests the attacker's actions</w:t>
            </w:r>
          </w:p>
        </w:tc>
        <w:tc>
          <w:tcPr>
            <w:tcW w:w="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C">
            <w:pPr>
              <w:keepNext/>
              <w:jc w:val="center"/>
            </w:pPr>
            <w:r>
              <w:rPr>
                <w:rFonts w:ascii="Times New Roman" w:hAnsi="Times New Roman" w:eastAsia="Times New Roman" w:cs="Times New Roman"/>
                <w:b w:val="0"/>
                <w:bCs w:val="0"/>
                <w:sz w:val="15"/>
                <w:szCs w:val="15"/>
              </w:rPr>
              <w:t>1,054</w:t>
            </w:r>
          </w:p>
        </w:tc>
        <w:tc>
          <w:tcPr>
            <w:tcW w:w="10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D">
            <w:pPr>
              <w:keepNext/>
              <w:jc w:val="center"/>
            </w:pPr>
            <w:r>
              <w:rPr>
                <w:rFonts w:ascii="Times New Roman" w:hAnsi="Times New Roman" w:eastAsia="Times New Roman" w:cs="Times New Roman"/>
                <w:b w:val="0"/>
                <w:bCs w:val="0"/>
                <w:sz w:val="15"/>
                <w:szCs w:val="15"/>
              </w:rPr>
              <w:t>2,652 (0)</w:t>
            </w:r>
          </w:p>
        </w:tc>
      </w:tr>
      <w:tr w14:paraId="000000DE">
        <w:trPr>
          <w:cantSplit/>
          <w:hidden w:val="0"/>
        </w:trPr>
        <w:tc>
          <w:tcPr>
            <w:tcW w:w="14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DF">
            <w:pPr>
              <w:keepNext w:val="0"/>
              <w:jc w:val="left"/>
            </w:pPr>
            <w:r>
              <w:rPr>
                <w:rFonts w:ascii="Times New Roman" w:hAnsi="Times New Roman" w:eastAsia="Times New Roman" w:cs="Times New Roman"/>
                <w:b w:val="0"/>
                <w:bCs w:val="0"/>
                <w:sz w:val="15"/>
                <w:szCs w:val="15"/>
              </w:rPr>
              <w:t>E. Injected + legitimate</w:t>
            </w:r>
          </w:p>
        </w:tc>
        <w:tc>
          <w:tcPr>
            <w:tcW w:w="19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E0">
            <w:pPr>
              <w:keepNext w:val="0"/>
              <w:jc w:val="left"/>
            </w:pPr>
            <w:r>
              <w:rPr>
                <w:rFonts w:ascii="Times New Roman" w:hAnsi="Times New Roman" w:eastAsia="Times New Roman" w:cs="Times New Roman"/>
                <w:b w:val="0"/>
                <w:bCs w:val="0"/>
                <w:sz w:val="15"/>
                <w:szCs w:val="15"/>
              </w:rPr>
              <w:t>injection present; user requests another sensitive task</w:t>
            </w:r>
          </w:p>
        </w:tc>
        <w:tc>
          <w:tcPr>
            <w:tcW w:w="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E1">
            <w:pPr>
              <w:keepNext w:val="0"/>
              <w:jc w:val="center"/>
            </w:pPr>
            <w:r>
              <w:rPr>
                <w:rFonts w:ascii="Times New Roman" w:hAnsi="Times New Roman" w:eastAsia="Times New Roman" w:cs="Times New Roman"/>
                <w:b w:val="0"/>
                <w:bCs w:val="0"/>
                <w:sz w:val="15"/>
                <w:szCs w:val="15"/>
              </w:rPr>
              <w:t>2,108</w:t>
            </w:r>
          </w:p>
        </w:tc>
        <w:tc>
          <w:tcPr>
            <w:tcW w:w="104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E2">
            <w:pPr>
              <w:keepNext w:val="0"/>
              <w:jc w:val="center"/>
            </w:pPr>
            <w:r>
              <w:rPr>
                <w:rFonts w:ascii="Times New Roman" w:hAnsi="Times New Roman" w:eastAsia="Times New Roman" w:cs="Times New Roman"/>
                <w:b w:val="0"/>
                <w:bCs w:val="0"/>
                <w:sz w:val="15"/>
                <w:szCs w:val="15"/>
              </w:rPr>
              <w:t>5,310 (0)</w:t>
            </w:r>
          </w:p>
        </w:tc>
      </w:tr>
    </w:tbl>
    <w:p w14:paraId="000000E3">
      <w:pPr>
        <w:spacing w:after="140"/>
        <w:jc w:val="left"/>
      </w:pPr>
    </w:p>
    <w:p w14:paraId="000000E4">
      <w:pPr>
        <w:pStyle w:val="Heading2"/>
        <w:keepNext/>
        <w:spacing w:after="40" w:before="100"/>
      </w:pPr>
      <w:r>
        <w:rPr>
          <w:rFonts w:ascii="Times New Roman" w:hAnsi="Times New Roman" w:eastAsia="Times New Roman" w:cs="Times New Roman"/>
          <w:i/>
          <w:iCs/>
          <w:color w:val="000000"/>
          <w:sz w:val="20"/>
          <w:szCs w:val="20"/>
        </w:rPr>
        <w:t>D. Protocols, Baselines and Implementation</w:t>
      </w:r>
    </w:p>
    <w:p w14:paraId="000000E5">
      <w:pPr>
        <w:spacing w:after="0" w:line="240"/>
        <w:ind w:firstLine="202"/>
        <w:jc w:val="both"/>
      </w:pPr>
      <w:r>
        <w:rPr>
          <w:rFonts w:ascii="Times New Roman" w:hAnsi="Times New Roman" w:eastAsia="Times New Roman" w:cs="Times New Roman"/>
          <w:sz w:val="20"/>
          <w:szCs w:val="20"/>
        </w:rPr>
        <w:t xml:space="preserve">Layer 2 is evaluated with grouped five-fold cross-validation in two settings: </w:t>
      </w:r>
      <w:r>
        <w:rPr>
          <w:rFonts w:ascii="Times New Roman" w:hAnsi="Times New Roman" w:eastAsia="Times New Roman" w:cs="Times New Roman"/>
          <w:i/>
          <w:iCs/>
          <w:sz w:val="20"/>
          <w:szCs w:val="20"/>
        </w:rPr>
        <w:t>unseen attacker goals</w:t>
      </w:r>
      <w:r>
        <w:rPr>
          <w:rFonts w:ascii="Times New Roman" w:hAnsi="Times New Roman" w:eastAsia="Times New Roman" w:cs="Times New Roman"/>
          <w:sz w:val="20"/>
          <w:szCs w:val="20"/>
        </w:rPr>
        <w:t xml:space="preserve">, where all traces of an attacker case fall in the same fold (scenario E pairs cases within a fold), and </w:t>
      </w:r>
      <w:r>
        <w:rPr>
          <w:rFonts w:ascii="Times New Roman" w:hAnsi="Times New Roman" w:eastAsia="Times New Roman" w:cs="Times New Roman"/>
          <w:i/>
          <w:iCs/>
          <w:sz w:val="20"/>
          <w:szCs w:val="20"/>
        </w:rPr>
        <w:t>unseen user tasks</w:t>
      </w:r>
      <w:r>
        <w:rPr>
          <w:rFonts w:ascii="Times New Roman" w:hAnsi="Times New Roman" w:eastAsia="Times New Roman" w:cs="Times New Roman"/>
          <w:sz w:val="20"/>
          <w:szCs w:val="20"/>
        </w:rPr>
        <w:t xml:space="preserve">, where folds are formed by user tool. Baselines are a rule that blocks any non-first write or high-risk call after a Layer-1 flag; logistic regression on Layer-1 context scores only; an unsupervised Isolation Forest </w:t>
      </w:r>
      <w:r>
        <w:rPr>
          <w:rFonts w:ascii="Times New Roman" w:hAnsi="Times New Roman" w:eastAsia="Times New Roman" w:cs="Times New Roman"/>
          <w:sz w:val="20"/>
          <w:szCs w:val="20"/>
        </w:rPr>
        <w:t>[21]</w:t>
      </w:r>
      <w:r>
        <w:rPr>
          <w:rFonts w:ascii="Times New Roman" w:hAnsi="Times New Roman" w:eastAsia="Times New Roman" w:cs="Times New Roman"/>
          <w:sz w:val="20"/>
          <w:szCs w:val="20"/>
        </w:rPr>
        <w:t xml:space="preserve"> trained on benign calls with a 3% false-alarm budget; XGBoost on behavioural features without Layer-1 context; and logistic regression and random forest on all features. End-to-end results use out-of-fold scores from the unseen-attacker-goal setting. All experiments ran on a 12-core CPU without a GPU using scikit-learn </w:t>
      </w:r>
      <w:r>
        <w:rPr>
          <w:rFonts w:ascii="Times New Roman" w:hAnsi="Times New Roman" w:eastAsia="Times New Roman" w:cs="Times New Roman"/>
          <w:sz w:val="20"/>
          <w:szCs w:val="20"/>
        </w:rPr>
        <w:t>[32]</w:t>
      </w:r>
      <w:r>
        <w:rPr>
          <w:rFonts w:ascii="Times New Roman" w:hAnsi="Times New Roman" w:eastAsia="Times New Roman" w:cs="Times New Roman"/>
          <w:sz w:val="20"/>
          <w:szCs w:val="20"/>
        </w:rPr>
        <w:t xml:space="preserve">, XGBoost </w:t>
      </w:r>
      <w:r>
        <w:rPr>
          <w:rFonts w:ascii="Times New Roman" w:hAnsi="Times New Roman" w:eastAsia="Times New Roman" w:cs="Times New Roman"/>
          <w:sz w:val="20"/>
          <w:szCs w:val="20"/>
        </w:rPr>
        <w:t>[26]</w:t>
      </w:r>
      <w:r>
        <w:rPr>
          <w:rFonts w:ascii="Times New Roman" w:hAnsi="Times New Roman" w:eastAsia="Times New Roman" w:cs="Times New Roman"/>
          <w:sz w:val="20"/>
          <w:szCs w:val="20"/>
        </w:rPr>
        <w:t>, PyTorch and Hugging Face Transformers.</w:t>
      </w:r>
    </w:p>
    <w:p w14:paraId="000000E6">
      <w:pPr>
        <w:pStyle w:val="Heading1"/>
        <w:keepNext/>
        <w:spacing w:after="80" w:before="200"/>
        <w:jc w:val="center"/>
      </w:pPr>
      <w:r>
        <w:rPr>
          <w:rFonts w:ascii="Times New Roman" w:hAnsi="Times New Roman" w:eastAsia="Times New Roman" w:cs="Times New Roman"/>
          <w:smallCaps/>
          <w:color w:val="000000"/>
          <w:sz w:val="20"/>
          <w:szCs w:val="20"/>
        </w:rPr>
        <w:t>VI. Results</w:t>
      </w:r>
    </w:p>
    <w:p w14:paraId="000000E7">
      <w:pPr>
        <w:pStyle w:val="Heading2"/>
        <w:keepNext/>
        <w:spacing w:after="40" w:before="100"/>
      </w:pPr>
      <w:r>
        <w:rPr>
          <w:rFonts w:ascii="Times New Roman" w:hAnsi="Times New Roman" w:eastAsia="Times New Roman" w:cs="Times New Roman"/>
          <w:i/>
          <w:iCs/>
          <w:color w:val="000000"/>
          <w:sz w:val="20"/>
          <w:szCs w:val="20"/>
        </w:rPr>
        <w:t>A. Layer 1: Content Detection</w:t>
      </w:r>
    </w:p>
    <w:p w14:paraId="000000E8">
      <w:pPr>
        <w:spacing w:after="0" w:line="240"/>
        <w:ind w:firstLine="202"/>
        <w:jc w:val="both"/>
      </w:pPr>
      <w:r>
        <w:rPr>
          <w:rFonts w:ascii="Times New Roman" w:hAnsi="Times New Roman" w:eastAsia="Times New Roman" w:cs="Times New Roman"/>
          <w:sz w:val="20"/>
          <w:szCs w:val="20"/>
        </w:rPr>
        <w:t>Table IV and Fig. 2 summarise content detection. The benchmark detectors transfer well to the OOD dataset (F1 0.925 and 0.948) but lose recall on the mixed in-distribution test set (0.754 and 0.641), which contains long jailbreak prompts and harmful requests outside their training focus. The trained models show the opposite pattern: TF-IDF is the strongest single model in-distribution (F1 0.946) but drops to 0.833 OOD. The stacked ensemble is best on both test sets (F1 0.954 and 0.968; ROC-AUC 0.984 and 0.999) because it combines complementary errors; its logit weights are 0.69 (TF-IDF), 0.39 (MiniLM), 0.09 (DeBERTa) and 0.05 (Wolf Defender). On the full 13,815-text test split the trained models reproduce their sample scores (F1 0.946 and 0.937). With only 101 benign OOD texts, OOD false-positive rates are coarse and are not emphasised.</w:t>
      </w:r>
    </w:p>
    <w:p w14:paraId="000000E9">
      <w:pPr>
        <w:keepNext/>
        <w:spacing w:after="0" w:before="160"/>
        <w:jc w:val="center"/>
      </w:pPr>
      <w:r>
        <w:rPr>
          <w:rFonts w:ascii="Times New Roman" w:hAnsi="Times New Roman" w:eastAsia="Times New Roman" w:cs="Times New Roman"/>
          <w:smallCaps/>
          <w:sz w:val="16"/>
          <w:szCs w:val="16"/>
        </w:rPr>
        <w:t>TABLE IV</w:t>
      </w:r>
    </w:p>
    <w:p w14:paraId="000000EA">
      <w:pPr>
        <w:keepNext/>
        <w:spacing w:after="60"/>
        <w:jc w:val="center"/>
      </w:pPr>
      <w:r>
        <w:rPr>
          <w:rFonts w:ascii="Times New Roman" w:hAnsi="Times New Roman" w:eastAsia="Times New Roman" w:cs="Times New Roman"/>
          <w:smallCaps/>
          <w:sz w:val="16"/>
          <w:szCs w:val="16"/>
        </w:rPr>
        <w:t>Content Detection Results (Thresholds Tuned on Validation)</w:t>
      </w:r>
    </w:p>
    <w:tbl>
      <w:tblPr>
        <w:tblW w:w="5040" w:type="dxa"/>
        <w:jc w:val="center"/>
        <w:tblBorders>
          <w:top w:val="single" w:color="000000" w:sz="6"/>
          <w:left w:val="nil" w:color="FFFFFF" w:sz="0"/>
          <w:bottom w:val="single" w:color="000000" w:sz="6"/>
          <w:right w:val="nil" w:color="FFFFFF" w:sz="0"/>
          <w:insideH w:val="nil" w:color="FFFFFF" w:sz="0"/>
          <w:insideV w:val="nil" w:color="FFFFFF" w:sz="0"/>
        </w:tblBorders>
      </w:tblPr>
      <w:tblGrid>
        <w:gridCol w:w="1620"/>
        <w:gridCol w:w="570"/>
        <w:gridCol w:w="570"/>
        <w:gridCol w:w="570"/>
        <w:gridCol w:w="570"/>
        <w:gridCol w:w="570"/>
        <w:gridCol w:w="570"/>
      </w:tblGrid>
      <w:tr w14:paraId="000000EB">
        <w:trPr>
          <w:cantSplit/>
          <w:hidden w:val="0"/>
          <w:tblHeader/>
        </w:trPr>
        <w:tc>
          <w:tcPr>
            <w:tcW w:w="1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EC">
            <w:pPr>
              <w:keepNext/>
              <w:jc w:val="left"/>
            </w:pPr>
          </w:p>
        </w:tc>
        <w:tc>
          <w:tcPr>
            <w:tcW w:w="2280" w:type="dxa"/>
            <w:gridSpan w:val="4"/>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ED">
            <w:pPr>
              <w:keepNext/>
              <w:jc w:val="center"/>
            </w:pPr>
            <w:r>
              <w:rPr>
                <w:rFonts w:ascii="Times New Roman" w:hAnsi="Times New Roman" w:eastAsia="Times New Roman" w:cs="Times New Roman"/>
                <w:b/>
                <w:bCs/>
                <w:sz w:val="15"/>
                <w:szCs w:val="15"/>
              </w:rPr>
              <w:t>In-distribution test</w:t>
            </w:r>
          </w:p>
        </w:tc>
        <w:tc>
          <w:tcPr>
            <w:tcW w:w="1140" w:type="dxa"/>
            <w:gridSpan w:val="2"/>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EE">
            <w:pPr>
              <w:keepNext/>
              <w:jc w:val="center"/>
            </w:pPr>
            <w:r>
              <w:rPr>
                <w:rFonts w:ascii="Times New Roman" w:hAnsi="Times New Roman" w:eastAsia="Times New Roman" w:cs="Times New Roman"/>
                <w:b/>
                <w:bCs/>
                <w:sz w:val="15"/>
                <w:szCs w:val="15"/>
              </w:rPr>
              <w:t>OOD test</w:t>
            </w:r>
          </w:p>
        </w:tc>
      </w:tr>
      <w:tr w14:paraId="000000EF">
        <w:trPr>
          <w:cantSplit/>
          <w:hidden w:val="0"/>
          <w:tblHeader/>
        </w:trPr>
        <w:tc>
          <w:tcPr>
            <w:tcW w:w="162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F0">
            <w:pPr>
              <w:keepNext/>
              <w:jc w:val="left"/>
            </w:pPr>
            <w:r>
              <w:rPr>
                <w:rFonts w:ascii="Times New Roman" w:hAnsi="Times New Roman" w:eastAsia="Times New Roman" w:cs="Times New Roman"/>
                <w:b/>
                <w:bCs/>
                <w:sz w:val="15"/>
                <w:szCs w:val="15"/>
              </w:rPr>
              <w:t>Model</w:t>
            </w:r>
          </w:p>
        </w:tc>
        <w:tc>
          <w:tcPr>
            <w:tcW w:w="57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F1">
            <w:pPr>
              <w:keepNext/>
              <w:jc w:val="center"/>
            </w:pPr>
            <w:r>
              <w:rPr>
                <w:rFonts w:ascii="Times New Roman" w:hAnsi="Times New Roman" w:eastAsia="Times New Roman" w:cs="Times New Roman"/>
                <w:b/>
                <w:bCs/>
                <w:sz w:val="15"/>
                <w:szCs w:val="15"/>
              </w:rPr>
              <w:t>P</w:t>
            </w:r>
          </w:p>
        </w:tc>
        <w:tc>
          <w:tcPr>
            <w:tcW w:w="57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F2">
            <w:pPr>
              <w:keepNext/>
              <w:jc w:val="center"/>
            </w:pPr>
            <w:r>
              <w:rPr>
                <w:rFonts w:ascii="Times New Roman" w:hAnsi="Times New Roman" w:eastAsia="Times New Roman" w:cs="Times New Roman"/>
                <w:b/>
                <w:bCs/>
                <w:sz w:val="15"/>
                <w:szCs w:val="15"/>
              </w:rPr>
              <w:t>R</w:t>
            </w:r>
          </w:p>
        </w:tc>
        <w:tc>
          <w:tcPr>
            <w:tcW w:w="57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F3">
            <w:pPr>
              <w:keepNext/>
              <w:jc w:val="center"/>
            </w:pPr>
            <w:r>
              <w:rPr>
                <w:rFonts w:ascii="Times New Roman" w:hAnsi="Times New Roman" w:eastAsia="Times New Roman" w:cs="Times New Roman"/>
                <w:b/>
                <w:bCs/>
                <w:sz w:val="15"/>
                <w:szCs w:val="15"/>
              </w:rPr>
              <w:t>F1</w:t>
            </w:r>
          </w:p>
        </w:tc>
        <w:tc>
          <w:tcPr>
            <w:tcW w:w="57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F4">
            <w:pPr>
              <w:keepNext/>
              <w:jc w:val="center"/>
            </w:pPr>
            <w:r>
              <w:rPr>
                <w:rFonts w:ascii="Times New Roman" w:hAnsi="Times New Roman" w:eastAsia="Times New Roman" w:cs="Times New Roman"/>
                <w:b/>
                <w:bCs/>
                <w:sz w:val="15"/>
                <w:szCs w:val="15"/>
              </w:rPr>
              <w:t>AUC</w:t>
            </w:r>
          </w:p>
        </w:tc>
        <w:tc>
          <w:tcPr>
            <w:tcW w:w="57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F5">
            <w:pPr>
              <w:keepNext/>
              <w:jc w:val="center"/>
            </w:pPr>
            <w:r>
              <w:rPr>
                <w:rFonts w:ascii="Times New Roman" w:hAnsi="Times New Roman" w:eastAsia="Times New Roman" w:cs="Times New Roman"/>
                <w:b/>
                <w:bCs/>
                <w:sz w:val="15"/>
                <w:szCs w:val="15"/>
              </w:rPr>
              <w:t>F1</w:t>
            </w:r>
          </w:p>
        </w:tc>
        <w:tc>
          <w:tcPr>
            <w:tcW w:w="57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0F6">
            <w:pPr>
              <w:keepNext/>
              <w:jc w:val="center"/>
            </w:pPr>
            <w:r>
              <w:rPr>
                <w:rFonts w:ascii="Times New Roman" w:hAnsi="Times New Roman" w:eastAsia="Times New Roman" w:cs="Times New Roman"/>
                <w:b/>
                <w:bCs/>
                <w:sz w:val="15"/>
                <w:szCs w:val="15"/>
              </w:rPr>
              <w:t>AUC</w:t>
            </w:r>
          </w:p>
        </w:tc>
      </w:tr>
      <w:tr w14:paraId="000000F7">
        <w:trPr>
          <w:cantSplit/>
          <w:hidden w:val="0"/>
        </w:trPr>
        <w:tc>
          <w:tcPr>
            <w:tcW w:w="1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F8">
            <w:pPr>
              <w:keepNext/>
              <w:jc w:val="left"/>
            </w:pPr>
            <w:r>
              <w:rPr>
                <w:rFonts w:ascii="Times New Roman" w:hAnsi="Times New Roman" w:eastAsia="Times New Roman" w:cs="Times New Roman"/>
                <w:b w:val="0"/>
                <w:bCs w:val="0"/>
                <w:sz w:val="15"/>
                <w:szCs w:val="15"/>
              </w:rPr>
              <w:t>ProtectAI DeBERTa-v3</w:t>
            </w:r>
            <w:r>
              <w:rPr>
                <w:rFonts w:ascii="Times New Roman" w:hAnsi="Times New Roman" w:eastAsia="Times New Roman" w:cs="Times New Roman"/>
                <w:b w:val="0"/>
                <w:bCs w:val="0"/>
                <w:sz w:val="15"/>
                <w:szCs w:val="15"/>
                <w:vertAlign w:val="superscript"/>
              </w:rPr>
              <w:t>a</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F9">
            <w:pPr>
              <w:keepNext/>
              <w:jc w:val="center"/>
            </w:pPr>
            <w:r>
              <w:rPr>
                <w:rFonts w:ascii="Times New Roman" w:hAnsi="Times New Roman" w:eastAsia="Times New Roman" w:cs="Times New Roman"/>
                <w:b w:val="0"/>
                <w:bCs w:val="0"/>
                <w:sz w:val="15"/>
                <w:szCs w:val="15"/>
              </w:rPr>
              <w:t>0.861</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FA">
            <w:pPr>
              <w:keepNext/>
              <w:jc w:val="center"/>
            </w:pPr>
            <w:r>
              <w:rPr>
                <w:rFonts w:ascii="Times New Roman" w:hAnsi="Times New Roman" w:eastAsia="Times New Roman" w:cs="Times New Roman"/>
                <w:b w:val="0"/>
                <w:bCs w:val="0"/>
                <w:sz w:val="15"/>
                <w:szCs w:val="15"/>
              </w:rPr>
              <w:t>0.754</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FB">
            <w:pPr>
              <w:keepNext/>
              <w:jc w:val="center"/>
            </w:pPr>
            <w:r>
              <w:rPr>
                <w:rFonts w:ascii="Times New Roman" w:hAnsi="Times New Roman" w:eastAsia="Times New Roman" w:cs="Times New Roman"/>
                <w:b w:val="0"/>
                <w:bCs w:val="0"/>
                <w:sz w:val="15"/>
                <w:szCs w:val="15"/>
              </w:rPr>
              <w:t>0.804</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FC">
            <w:pPr>
              <w:keepNext/>
              <w:jc w:val="center"/>
            </w:pPr>
            <w:r>
              <w:rPr>
                <w:rFonts w:ascii="Times New Roman" w:hAnsi="Times New Roman" w:eastAsia="Times New Roman" w:cs="Times New Roman"/>
                <w:b w:val="0"/>
                <w:bCs w:val="0"/>
                <w:sz w:val="15"/>
                <w:szCs w:val="15"/>
              </w:rPr>
              <w:t>0.891</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FD">
            <w:pPr>
              <w:keepNext/>
              <w:jc w:val="center"/>
            </w:pPr>
            <w:r>
              <w:rPr>
                <w:rFonts w:ascii="Times New Roman" w:hAnsi="Times New Roman" w:eastAsia="Times New Roman" w:cs="Times New Roman"/>
                <w:b w:val="0"/>
                <w:bCs w:val="0"/>
                <w:sz w:val="15"/>
                <w:szCs w:val="15"/>
              </w:rPr>
              <w:t>0.925</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0FE">
            <w:pPr>
              <w:keepNext/>
              <w:jc w:val="center"/>
            </w:pPr>
            <w:r>
              <w:rPr>
                <w:rFonts w:ascii="Times New Roman" w:hAnsi="Times New Roman" w:eastAsia="Times New Roman" w:cs="Times New Roman"/>
                <w:b w:val="0"/>
                <w:bCs w:val="0"/>
                <w:sz w:val="15"/>
                <w:szCs w:val="15"/>
              </w:rPr>
              <w:t>0.944</w:t>
            </w:r>
          </w:p>
        </w:tc>
      </w:tr>
      <w:tr w14:paraId="000000FF">
        <w:trPr>
          <w:cantSplit/>
          <w:hidden w:val="0"/>
        </w:trPr>
        <w:tc>
          <w:tcPr>
            <w:tcW w:w="1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0">
            <w:pPr>
              <w:keepNext/>
              <w:jc w:val="left"/>
            </w:pPr>
            <w:r>
              <w:rPr>
                <w:rFonts w:ascii="Times New Roman" w:hAnsi="Times New Roman" w:eastAsia="Times New Roman" w:cs="Times New Roman"/>
                <w:b w:val="0"/>
                <w:bCs w:val="0"/>
                <w:sz w:val="15"/>
                <w:szCs w:val="15"/>
              </w:rPr>
              <w:t>Wolf Defender</w:t>
            </w:r>
            <w:r>
              <w:rPr>
                <w:rFonts w:ascii="Times New Roman" w:hAnsi="Times New Roman" w:eastAsia="Times New Roman" w:cs="Times New Roman"/>
                <w:b w:val="0"/>
                <w:bCs w:val="0"/>
                <w:sz w:val="15"/>
                <w:szCs w:val="15"/>
                <w:vertAlign w:val="superscript"/>
              </w:rPr>
              <w:t>a</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1">
            <w:pPr>
              <w:keepNext/>
              <w:jc w:val="center"/>
            </w:pPr>
            <w:r>
              <w:rPr>
                <w:rFonts w:ascii="Times New Roman" w:hAnsi="Times New Roman" w:eastAsia="Times New Roman" w:cs="Times New Roman"/>
                <w:b w:val="0"/>
                <w:bCs w:val="0"/>
                <w:sz w:val="15"/>
                <w:szCs w:val="15"/>
              </w:rPr>
              <w:t>0.938</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2">
            <w:pPr>
              <w:keepNext/>
              <w:jc w:val="center"/>
            </w:pPr>
            <w:r>
              <w:rPr>
                <w:rFonts w:ascii="Times New Roman" w:hAnsi="Times New Roman" w:eastAsia="Times New Roman" w:cs="Times New Roman"/>
                <w:b w:val="0"/>
                <w:bCs w:val="0"/>
                <w:sz w:val="15"/>
                <w:szCs w:val="15"/>
              </w:rPr>
              <w:t>0.641</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3">
            <w:pPr>
              <w:keepNext/>
              <w:jc w:val="center"/>
            </w:pPr>
            <w:r>
              <w:rPr>
                <w:rFonts w:ascii="Times New Roman" w:hAnsi="Times New Roman" w:eastAsia="Times New Roman" w:cs="Times New Roman"/>
                <w:b w:val="0"/>
                <w:bCs w:val="0"/>
                <w:sz w:val="15"/>
                <w:szCs w:val="15"/>
              </w:rPr>
              <w:t>0.762</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4">
            <w:pPr>
              <w:keepNext/>
              <w:jc w:val="center"/>
            </w:pPr>
            <w:r>
              <w:rPr>
                <w:rFonts w:ascii="Times New Roman" w:hAnsi="Times New Roman" w:eastAsia="Times New Roman" w:cs="Times New Roman"/>
                <w:b w:val="0"/>
                <w:bCs w:val="0"/>
                <w:sz w:val="15"/>
                <w:szCs w:val="15"/>
              </w:rPr>
              <w:t>0.814</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5">
            <w:pPr>
              <w:keepNext/>
              <w:jc w:val="center"/>
            </w:pPr>
            <w:r>
              <w:rPr>
                <w:rFonts w:ascii="Times New Roman" w:hAnsi="Times New Roman" w:eastAsia="Times New Roman" w:cs="Times New Roman"/>
                <w:b w:val="0"/>
                <w:bCs w:val="0"/>
                <w:sz w:val="15"/>
                <w:szCs w:val="15"/>
              </w:rPr>
              <w:t>0.948</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6">
            <w:pPr>
              <w:keepNext/>
              <w:jc w:val="center"/>
            </w:pPr>
            <w:r>
              <w:rPr>
                <w:rFonts w:ascii="Times New Roman" w:hAnsi="Times New Roman" w:eastAsia="Times New Roman" w:cs="Times New Roman"/>
                <w:b w:val="0"/>
                <w:bCs w:val="0"/>
                <w:sz w:val="15"/>
                <w:szCs w:val="15"/>
              </w:rPr>
              <w:t>1.000</w:t>
            </w:r>
          </w:p>
        </w:tc>
      </w:tr>
      <w:tr w14:paraId="00000107">
        <w:trPr>
          <w:cantSplit/>
          <w:hidden w:val="0"/>
        </w:trPr>
        <w:tc>
          <w:tcPr>
            <w:tcW w:w="1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8">
            <w:pPr>
              <w:keepNext/>
              <w:jc w:val="left"/>
            </w:pPr>
            <w:r>
              <w:rPr>
                <w:rFonts w:ascii="Times New Roman" w:hAnsi="Times New Roman" w:eastAsia="Times New Roman" w:cs="Times New Roman"/>
                <w:b w:val="0"/>
                <w:bCs w:val="0"/>
                <w:sz w:val="15"/>
                <w:szCs w:val="15"/>
              </w:rPr>
              <w:t>TF-IDF + LR</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9">
            <w:pPr>
              <w:keepNext/>
              <w:jc w:val="center"/>
            </w:pPr>
            <w:r>
              <w:rPr>
                <w:rFonts w:ascii="Times New Roman" w:hAnsi="Times New Roman" w:eastAsia="Times New Roman" w:cs="Times New Roman"/>
                <w:b w:val="0"/>
                <w:bCs w:val="0"/>
                <w:sz w:val="15"/>
                <w:szCs w:val="15"/>
              </w:rPr>
              <w:t>0.978</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A">
            <w:pPr>
              <w:keepNext/>
              <w:jc w:val="center"/>
            </w:pPr>
            <w:r>
              <w:rPr>
                <w:rFonts w:ascii="Times New Roman" w:hAnsi="Times New Roman" w:eastAsia="Times New Roman" w:cs="Times New Roman"/>
                <w:b w:val="0"/>
                <w:bCs w:val="0"/>
                <w:sz w:val="15"/>
                <w:szCs w:val="15"/>
              </w:rPr>
              <w:t>0.916</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B">
            <w:pPr>
              <w:keepNext/>
              <w:jc w:val="center"/>
            </w:pPr>
            <w:r>
              <w:rPr>
                <w:rFonts w:ascii="Times New Roman" w:hAnsi="Times New Roman" w:eastAsia="Times New Roman" w:cs="Times New Roman"/>
                <w:b w:val="0"/>
                <w:bCs w:val="0"/>
                <w:sz w:val="15"/>
                <w:szCs w:val="15"/>
              </w:rPr>
              <w:t>0.946</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C">
            <w:pPr>
              <w:keepNext/>
              <w:jc w:val="center"/>
            </w:pPr>
            <w:r>
              <w:rPr>
                <w:rFonts w:ascii="Times New Roman" w:hAnsi="Times New Roman" w:eastAsia="Times New Roman" w:cs="Times New Roman"/>
                <w:b w:val="0"/>
                <w:bCs w:val="0"/>
                <w:sz w:val="15"/>
                <w:szCs w:val="15"/>
              </w:rPr>
              <w:t>0.983</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D">
            <w:pPr>
              <w:keepNext/>
              <w:jc w:val="center"/>
            </w:pPr>
            <w:r>
              <w:rPr>
                <w:rFonts w:ascii="Times New Roman" w:hAnsi="Times New Roman" w:eastAsia="Times New Roman" w:cs="Times New Roman"/>
                <w:b w:val="0"/>
                <w:bCs w:val="0"/>
                <w:sz w:val="15"/>
                <w:szCs w:val="15"/>
              </w:rPr>
              <w:t>0.833</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0E">
            <w:pPr>
              <w:keepNext/>
              <w:jc w:val="center"/>
            </w:pPr>
            <w:r>
              <w:rPr>
                <w:rFonts w:ascii="Times New Roman" w:hAnsi="Times New Roman" w:eastAsia="Times New Roman" w:cs="Times New Roman"/>
                <w:b w:val="0"/>
                <w:bCs w:val="0"/>
                <w:sz w:val="15"/>
                <w:szCs w:val="15"/>
              </w:rPr>
              <w:t>0.991</w:t>
            </w:r>
          </w:p>
        </w:tc>
      </w:tr>
      <w:tr w14:paraId="0000010F">
        <w:trPr>
          <w:cantSplit/>
          <w:hidden w:val="0"/>
        </w:trPr>
        <w:tc>
          <w:tcPr>
            <w:tcW w:w="1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0">
            <w:pPr>
              <w:keepNext/>
              <w:jc w:val="left"/>
            </w:pPr>
            <w:r>
              <w:rPr>
                <w:rFonts w:ascii="Times New Roman" w:hAnsi="Times New Roman" w:eastAsia="Times New Roman" w:cs="Times New Roman"/>
                <w:b w:val="0"/>
                <w:bCs w:val="0"/>
                <w:sz w:val="15"/>
                <w:szCs w:val="15"/>
              </w:rPr>
              <w:t>MiniLM + XGBoost</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1">
            <w:pPr>
              <w:keepNext/>
              <w:jc w:val="center"/>
            </w:pPr>
            <w:r>
              <w:rPr>
                <w:rFonts w:ascii="Times New Roman" w:hAnsi="Times New Roman" w:eastAsia="Times New Roman" w:cs="Times New Roman"/>
                <w:b w:val="0"/>
                <w:bCs w:val="0"/>
                <w:sz w:val="15"/>
                <w:szCs w:val="15"/>
              </w:rPr>
              <w:t>0.959</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2">
            <w:pPr>
              <w:keepNext/>
              <w:jc w:val="center"/>
            </w:pPr>
            <w:r>
              <w:rPr>
                <w:rFonts w:ascii="Times New Roman" w:hAnsi="Times New Roman" w:eastAsia="Times New Roman" w:cs="Times New Roman"/>
                <w:b w:val="0"/>
                <w:bCs w:val="0"/>
                <w:sz w:val="15"/>
                <w:szCs w:val="15"/>
              </w:rPr>
              <w:t>0.916</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3">
            <w:pPr>
              <w:keepNext/>
              <w:jc w:val="center"/>
            </w:pPr>
            <w:r>
              <w:rPr>
                <w:rFonts w:ascii="Times New Roman" w:hAnsi="Times New Roman" w:eastAsia="Times New Roman" w:cs="Times New Roman"/>
                <w:b w:val="0"/>
                <w:bCs w:val="0"/>
                <w:sz w:val="15"/>
                <w:szCs w:val="15"/>
              </w:rPr>
              <w:t>0.937</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4">
            <w:pPr>
              <w:keepNext/>
              <w:jc w:val="center"/>
            </w:pPr>
            <w:r>
              <w:rPr>
                <w:rFonts w:ascii="Times New Roman" w:hAnsi="Times New Roman" w:eastAsia="Times New Roman" w:cs="Times New Roman"/>
                <w:b w:val="0"/>
                <w:bCs w:val="0"/>
                <w:sz w:val="15"/>
                <w:szCs w:val="15"/>
              </w:rPr>
              <w:t>0.977</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5">
            <w:pPr>
              <w:keepNext/>
              <w:jc w:val="center"/>
            </w:pPr>
            <w:r>
              <w:rPr>
                <w:rFonts w:ascii="Times New Roman" w:hAnsi="Times New Roman" w:eastAsia="Times New Roman" w:cs="Times New Roman"/>
                <w:b w:val="0"/>
                <w:bCs w:val="0"/>
                <w:sz w:val="15"/>
                <w:szCs w:val="15"/>
              </w:rPr>
              <w:t>0.919</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6">
            <w:pPr>
              <w:keepNext/>
              <w:jc w:val="center"/>
            </w:pPr>
            <w:r>
              <w:rPr>
                <w:rFonts w:ascii="Times New Roman" w:hAnsi="Times New Roman" w:eastAsia="Times New Roman" w:cs="Times New Roman"/>
                <w:b w:val="0"/>
                <w:bCs w:val="0"/>
                <w:sz w:val="15"/>
                <w:szCs w:val="15"/>
              </w:rPr>
              <w:t>0.991</w:t>
            </w:r>
          </w:p>
        </w:tc>
      </w:tr>
      <w:tr w14:paraId="00000117">
        <w:trPr>
          <w:cantSplit/>
          <w:hidden w:val="0"/>
        </w:trPr>
        <w:tc>
          <w:tcPr>
            <w:tcW w:w="162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8">
            <w:pPr>
              <w:keepNext w:val="0"/>
              <w:jc w:val="left"/>
            </w:pPr>
            <w:r>
              <w:rPr>
                <w:rFonts w:ascii="Times New Roman" w:hAnsi="Times New Roman" w:eastAsia="Times New Roman" w:cs="Times New Roman"/>
                <w:b/>
                <w:bCs/>
                <w:sz w:val="15"/>
                <w:szCs w:val="15"/>
              </w:rPr>
              <w:t>Stacked ensemble</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9">
            <w:pPr>
              <w:keepNext w:val="0"/>
              <w:jc w:val="center"/>
            </w:pPr>
            <w:r>
              <w:rPr>
                <w:rFonts w:ascii="Times New Roman" w:hAnsi="Times New Roman" w:eastAsia="Times New Roman" w:cs="Times New Roman"/>
                <w:b w:val="0"/>
                <w:bCs w:val="0"/>
                <w:sz w:val="15"/>
                <w:szCs w:val="15"/>
              </w:rPr>
              <w:t>0.964</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A">
            <w:pPr>
              <w:keepNext w:val="0"/>
              <w:jc w:val="center"/>
            </w:pPr>
            <w:r>
              <w:rPr>
                <w:rFonts w:ascii="Times New Roman" w:hAnsi="Times New Roman" w:eastAsia="Times New Roman" w:cs="Times New Roman"/>
                <w:b/>
                <w:bCs/>
                <w:sz w:val="15"/>
                <w:szCs w:val="15"/>
              </w:rPr>
              <w:t>0.944</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B">
            <w:pPr>
              <w:keepNext w:val="0"/>
              <w:jc w:val="center"/>
            </w:pPr>
            <w:r>
              <w:rPr>
                <w:rFonts w:ascii="Times New Roman" w:hAnsi="Times New Roman" w:eastAsia="Times New Roman" w:cs="Times New Roman"/>
                <w:b/>
                <w:bCs/>
                <w:sz w:val="15"/>
                <w:szCs w:val="15"/>
              </w:rPr>
              <w:t>0.954</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C">
            <w:pPr>
              <w:keepNext w:val="0"/>
              <w:jc w:val="center"/>
            </w:pPr>
            <w:r>
              <w:rPr>
                <w:rFonts w:ascii="Times New Roman" w:hAnsi="Times New Roman" w:eastAsia="Times New Roman" w:cs="Times New Roman"/>
                <w:b/>
                <w:bCs/>
                <w:sz w:val="15"/>
                <w:szCs w:val="15"/>
              </w:rPr>
              <w:t>0.984</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D">
            <w:pPr>
              <w:keepNext w:val="0"/>
              <w:jc w:val="center"/>
            </w:pPr>
            <w:r>
              <w:rPr>
                <w:rFonts w:ascii="Times New Roman" w:hAnsi="Times New Roman" w:eastAsia="Times New Roman" w:cs="Times New Roman"/>
                <w:b/>
                <w:bCs/>
                <w:sz w:val="15"/>
                <w:szCs w:val="15"/>
              </w:rPr>
              <w:t>0.968</w:t>
            </w:r>
          </w:p>
        </w:tc>
        <w:tc>
          <w:tcPr>
            <w:tcW w:w="57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1E">
            <w:pPr>
              <w:keepNext w:val="0"/>
              <w:jc w:val="center"/>
            </w:pPr>
            <w:r>
              <w:rPr>
                <w:rFonts w:ascii="Times New Roman" w:hAnsi="Times New Roman" w:eastAsia="Times New Roman" w:cs="Times New Roman"/>
                <w:b w:val="0"/>
                <w:bCs w:val="0"/>
                <w:sz w:val="15"/>
                <w:szCs w:val="15"/>
              </w:rPr>
              <w:t>0.999</w:t>
            </w:r>
          </w:p>
        </w:tc>
      </w:tr>
    </w:tbl>
    <w:p w14:paraId="0000011F">
      <w:pPr>
        <w:spacing w:after="140"/>
        <w:jc w:val="left"/>
      </w:pPr>
      <w:r>
        <w:rPr>
          <w:rFonts w:ascii="Times New Roman" w:hAnsi="Times New Roman" w:eastAsia="Times New Roman" w:cs="Times New Roman"/>
          <w:sz w:val="14"/>
          <w:szCs w:val="14"/>
          <w:vertAlign w:val="superscript"/>
        </w:rPr>
        <w:t>a</w:t>
      </w:r>
      <w:r>
        <w:rPr>
          <w:rFonts w:ascii="Times New Roman" w:hAnsi="Times New Roman" w:eastAsia="Times New Roman" w:cs="Times New Roman"/>
          <w:sz w:val="14"/>
          <w:szCs w:val="14"/>
        </w:rPr>
        <w:t>Kaggle benchmark model, zero-shot. Test: stratified sample of 5,000 texts; OOD: 586 texts.</w:t>
      </w:r>
    </w:p>
    <w:p w14:paraId="00000120">
      <w:pPr>
        <w:keepNext/>
        <w:spacing w:after="40" w:before="120"/>
        <w:jc w:val="center"/>
      </w:pPr>
      <w:r>
        <w:drawing>
          <wp:inline distT="0" distB="0" distL="0" distR="0">
            <wp:extent cx="2790825" cy="1771650"/>
            <wp:effectExtent t="0" r="0" b="0" l="0"/>
            <wp:docPr id="2" name="fig2_layer1_f1.png" descr="F1-score of the content detectors on the in-distribution test sample and the unseen OOD Kaggle dataset. Models marked * are Kaggle benchmark detector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8" cstate="none"/>
                    <a:srcRect/>
                    <a:stretch>
                      <a:fillRect/>
                    </a:stretch>
                  </pic:blipFill>
                  <pic:spPr bwMode="auto">
                    <a:xfrm>
                      <a:off x="0" y="0"/>
                      <a:ext cx="2790825" cy="1771650"/>
                    </a:xfrm>
                    <a:prstGeom prst="rect">
                      <a:avLst/>
                    </a:prstGeom>
                  </pic:spPr>
                </pic:pic>
              </a:graphicData>
            </a:graphic>
          </wp:inline>
        </w:drawing>
      </w:r>
    </w:p>
    <w:p w14:paraId="00000121">
      <w:pPr>
        <w:spacing w:after="140"/>
        <w:jc w:val="both"/>
      </w:pPr>
      <w:r>
        <w:rPr>
          <w:rFonts w:ascii="Times New Roman" w:hAnsi="Times New Roman" w:eastAsia="Times New Roman" w:cs="Times New Roman"/>
          <w:sz w:val="16"/>
          <w:szCs w:val="16"/>
        </w:rPr>
        <w:t xml:space="preserve">Fig. 2. </w:t>
      </w:r>
      <w:r>
        <w:rPr>
          <w:rFonts w:ascii="Times New Roman" w:hAnsi="Times New Roman" w:eastAsia="Times New Roman" w:cs="Times New Roman"/>
          <w:sz w:val="16"/>
          <w:szCs w:val="16"/>
        </w:rPr>
        <w:t>F1-score of the content detectors on the in-distribution test sample and the unseen OOD Kaggle dataset. Models marked * are Kaggle benchmark detectors.</w:t>
      </w:r>
    </w:p>
    <w:p w14:paraId="00000122">
      <w:pPr>
        <w:pStyle w:val="Heading2"/>
        <w:keepNext/>
        <w:spacing w:after="40" w:before="100"/>
      </w:pPr>
      <w:r>
        <w:rPr>
          <w:rFonts w:ascii="Times New Roman" w:hAnsi="Times New Roman" w:eastAsia="Times New Roman" w:cs="Times New Roman"/>
          <w:i/>
          <w:iCs/>
          <w:color w:val="000000"/>
          <w:sz w:val="20"/>
          <w:szCs w:val="20"/>
        </w:rPr>
        <w:t>B. Layer 2: Behavioural Detection</w:t>
      </w:r>
    </w:p>
    <w:p w14:paraId="00000123">
      <w:pPr>
        <w:spacing w:after="0" w:line="240"/>
        <w:ind w:firstLine="202"/>
        <w:jc w:val="both"/>
      </w:pPr>
      <w:r>
        <w:rPr>
          <w:rFonts w:ascii="Times New Roman" w:hAnsi="Times New Roman" w:eastAsia="Times New Roman" w:cs="Times New Roman"/>
          <w:sz w:val="20"/>
          <w:szCs w:val="20"/>
        </w:rPr>
        <w:t>Table V and Fig. 3 report hijacked-call detection. Layer-1 context alone is a weak predictor (F1 0.333): the same injected observation precedes both hijacked calls (scenario C) and legitimate calls (scenario E), and polite injections often receive low text scores. The rule baseline blocks many legitimate sensitive calls (false-positive rate 18.5%). Isolation Forest reaches F1 0.876 without labels, confirming that hijacked calls are behavioural outliers. The supervised monitor achieves F1 0.993 with a 0.28% false-positive rate on unseen attacker goals and F1 0.995 with 0.04% on unseen user tasks. Removing Layer-1 context leaves performance essentially unchanged (F1 0.993), showing that decisions are driven by behaviour rather than by text. Per scenario, the monitor flags 0.53% of legitimate calls in hard-negative scenario D and 0.43% in E, none in A and B, and detects 99.66% of hijacked calls in C. Fig. 4 shows that the most informative features are similarity to the most suspicious segment, overlap between tool name and goal, and drift, followed by argument provenance.</w:t>
      </w:r>
    </w:p>
    <w:p w14:paraId="00000124">
      <w:pPr>
        <w:keepNext/>
        <w:spacing w:after="0" w:before="160"/>
        <w:jc w:val="center"/>
      </w:pPr>
      <w:r>
        <w:rPr>
          <w:rFonts w:ascii="Times New Roman" w:hAnsi="Times New Roman" w:eastAsia="Times New Roman" w:cs="Times New Roman"/>
          <w:smallCaps/>
          <w:sz w:val="16"/>
          <w:szCs w:val="16"/>
        </w:rPr>
        <w:t>TABLE V</w:t>
      </w:r>
    </w:p>
    <w:p w14:paraId="00000125">
      <w:pPr>
        <w:keepNext/>
        <w:spacing w:after="60"/>
        <w:jc w:val="center"/>
      </w:pPr>
      <w:r>
        <w:rPr>
          <w:rFonts w:ascii="Times New Roman" w:hAnsi="Times New Roman" w:eastAsia="Times New Roman" w:cs="Times New Roman"/>
          <w:smallCaps/>
          <w:sz w:val="16"/>
          <w:szCs w:val="16"/>
        </w:rPr>
        <w:t>Hijacked Tool-Call Detection (Grouped Cross-Validation)</w:t>
      </w:r>
    </w:p>
    <w:tbl>
      <w:tblPr>
        <w:tblW w:w="5040" w:type="dxa"/>
        <w:jc w:val="center"/>
        <w:tblBorders>
          <w:top w:val="single" w:color="000000" w:sz="6"/>
          <w:left w:val="nil" w:color="FFFFFF" w:sz="0"/>
          <w:bottom w:val="single" w:color="000000" w:sz="6"/>
          <w:right w:val="nil" w:color="FFFFFF" w:sz="0"/>
          <w:insideH w:val="nil" w:color="FFFFFF" w:sz="0"/>
          <w:insideV w:val="nil" w:color="FFFFFF" w:sz="0"/>
        </w:tblBorders>
      </w:tblPr>
      <w:tblGrid>
        <w:gridCol w:w="1500"/>
        <w:gridCol w:w="590"/>
        <w:gridCol w:w="590"/>
        <w:gridCol w:w="590"/>
        <w:gridCol w:w="690"/>
        <w:gridCol w:w="1080"/>
      </w:tblGrid>
      <w:tr w14:paraId="00000126">
        <w:trPr>
          <w:cantSplit/>
          <w:hidden w:val="0"/>
          <w:tblHeader/>
        </w:trPr>
        <w:tc>
          <w:tcPr>
            <w:tcW w:w="15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27">
            <w:pPr>
              <w:keepNext/>
              <w:jc w:val="left"/>
            </w:pPr>
          </w:p>
        </w:tc>
        <w:tc>
          <w:tcPr>
            <w:tcW w:w="2460" w:type="dxa"/>
            <w:gridSpan w:val="4"/>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28">
            <w:pPr>
              <w:keepNext/>
              <w:jc w:val="center"/>
            </w:pPr>
            <w:r>
              <w:rPr>
                <w:rFonts w:ascii="Times New Roman" w:hAnsi="Times New Roman" w:eastAsia="Times New Roman" w:cs="Times New Roman"/>
                <w:b/>
                <w:bCs/>
                <w:sz w:val="15"/>
                <w:szCs w:val="15"/>
              </w:rPr>
              <w:t>Unseen attacker goals</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29">
            <w:pPr>
              <w:keepNext/>
              <w:jc w:val="center"/>
            </w:pPr>
            <w:r>
              <w:rPr>
                <w:rFonts w:ascii="Times New Roman" w:hAnsi="Times New Roman" w:eastAsia="Times New Roman" w:cs="Times New Roman"/>
                <w:b/>
                <w:bCs/>
                <w:sz w:val="15"/>
                <w:szCs w:val="15"/>
              </w:rPr>
              <w:t>Unseen tasks</w:t>
            </w:r>
          </w:p>
        </w:tc>
      </w:tr>
      <w:tr w14:paraId="0000012A">
        <w:trPr>
          <w:cantSplit/>
          <w:hidden w:val="0"/>
          <w:tblHeader/>
        </w:trPr>
        <w:tc>
          <w:tcPr>
            <w:tcW w:w="150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2B">
            <w:pPr>
              <w:keepNext/>
              <w:jc w:val="left"/>
            </w:pPr>
            <w:r>
              <w:rPr>
                <w:rFonts w:ascii="Times New Roman" w:hAnsi="Times New Roman" w:eastAsia="Times New Roman" w:cs="Times New Roman"/>
                <w:b/>
                <w:bCs/>
                <w:sz w:val="15"/>
                <w:szCs w:val="15"/>
              </w:rPr>
              <w:t>Model</w:t>
            </w:r>
          </w:p>
        </w:tc>
        <w:tc>
          <w:tcPr>
            <w:tcW w:w="59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2C">
            <w:pPr>
              <w:keepNext/>
              <w:jc w:val="center"/>
            </w:pPr>
            <w:r>
              <w:rPr>
                <w:rFonts w:ascii="Times New Roman" w:hAnsi="Times New Roman" w:eastAsia="Times New Roman" w:cs="Times New Roman"/>
                <w:b/>
                <w:bCs/>
                <w:sz w:val="15"/>
                <w:szCs w:val="15"/>
              </w:rPr>
              <w:t>P</w:t>
            </w:r>
          </w:p>
        </w:tc>
        <w:tc>
          <w:tcPr>
            <w:tcW w:w="59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2D">
            <w:pPr>
              <w:keepNext/>
              <w:jc w:val="center"/>
            </w:pPr>
            <w:r>
              <w:rPr>
                <w:rFonts w:ascii="Times New Roman" w:hAnsi="Times New Roman" w:eastAsia="Times New Roman" w:cs="Times New Roman"/>
                <w:b/>
                <w:bCs/>
                <w:sz w:val="15"/>
                <w:szCs w:val="15"/>
              </w:rPr>
              <w:t>R</w:t>
            </w:r>
          </w:p>
        </w:tc>
        <w:tc>
          <w:tcPr>
            <w:tcW w:w="59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2E">
            <w:pPr>
              <w:keepNext/>
              <w:jc w:val="center"/>
            </w:pPr>
            <w:r>
              <w:rPr>
                <w:rFonts w:ascii="Times New Roman" w:hAnsi="Times New Roman" w:eastAsia="Times New Roman" w:cs="Times New Roman"/>
                <w:b/>
                <w:bCs/>
                <w:sz w:val="15"/>
                <w:szCs w:val="15"/>
              </w:rPr>
              <w:t>F1</w:t>
            </w:r>
          </w:p>
        </w:tc>
        <w:tc>
          <w:tcPr>
            <w:tcW w:w="69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2F">
            <w:pPr>
              <w:keepNext/>
              <w:jc w:val="center"/>
            </w:pPr>
            <w:r>
              <w:rPr>
                <w:rFonts w:ascii="Times New Roman" w:hAnsi="Times New Roman" w:eastAsia="Times New Roman" w:cs="Times New Roman"/>
                <w:b/>
                <w:bCs/>
                <w:sz w:val="15"/>
                <w:szCs w:val="15"/>
              </w:rPr>
              <w:t>FPR</w:t>
            </w:r>
          </w:p>
        </w:tc>
        <w:tc>
          <w:tcPr>
            <w:tcW w:w="108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30">
            <w:pPr>
              <w:keepNext/>
              <w:jc w:val="center"/>
            </w:pPr>
            <w:r>
              <w:rPr>
                <w:rFonts w:ascii="Times New Roman" w:hAnsi="Times New Roman" w:eastAsia="Times New Roman" w:cs="Times New Roman"/>
                <w:b/>
                <w:bCs/>
                <w:sz w:val="15"/>
                <w:szCs w:val="15"/>
              </w:rPr>
              <w:t>F1</w:t>
            </w:r>
          </w:p>
        </w:tc>
      </w:tr>
      <w:tr w14:paraId="00000131">
        <w:trPr>
          <w:cantSplit/>
          <w:hidden w:val="0"/>
        </w:trPr>
        <w:tc>
          <w:tcPr>
            <w:tcW w:w="15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2">
            <w:pPr>
              <w:keepNext/>
              <w:jc w:val="left"/>
            </w:pPr>
            <w:r>
              <w:rPr>
                <w:rFonts w:ascii="Times New Roman" w:hAnsi="Times New Roman" w:eastAsia="Times New Roman" w:cs="Times New Roman"/>
                <w:b w:val="0"/>
                <w:bCs w:val="0"/>
                <w:sz w:val="15"/>
                <w:szCs w:val="15"/>
              </w:rPr>
              <w:t>Rule baseline</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3">
            <w:pPr>
              <w:keepNext/>
              <w:jc w:val="center"/>
            </w:pPr>
            <w:r>
              <w:rPr>
                <w:rFonts w:ascii="Times New Roman" w:hAnsi="Times New Roman" w:eastAsia="Times New Roman" w:cs="Times New Roman"/>
                <w:b w:val="0"/>
                <w:bCs w:val="0"/>
                <w:sz w:val="15"/>
                <w:szCs w:val="15"/>
              </w:rPr>
              <w:t>0.450</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4">
            <w:pPr>
              <w:keepNext/>
              <w:jc w:val="center"/>
            </w:pPr>
            <w:r>
              <w:rPr>
                <w:rFonts w:ascii="Times New Roman" w:hAnsi="Times New Roman" w:eastAsia="Times New Roman" w:cs="Times New Roman"/>
                <w:b w:val="0"/>
                <w:bCs w:val="0"/>
                <w:sz w:val="15"/>
                <w:szCs w:val="15"/>
              </w:rPr>
              <w:t>0.627</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5">
            <w:pPr>
              <w:keepNext/>
              <w:jc w:val="center"/>
            </w:pPr>
            <w:r>
              <w:rPr>
                <w:rFonts w:ascii="Times New Roman" w:hAnsi="Times New Roman" w:eastAsia="Times New Roman" w:cs="Times New Roman"/>
                <w:b w:val="0"/>
                <w:bCs w:val="0"/>
                <w:sz w:val="15"/>
                <w:szCs w:val="15"/>
              </w:rPr>
              <w:t>0.524</w:t>
            </w:r>
          </w:p>
        </w:tc>
        <w:tc>
          <w:tcPr>
            <w:tcW w:w="6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6">
            <w:pPr>
              <w:keepNext/>
              <w:jc w:val="center"/>
            </w:pPr>
            <w:r>
              <w:rPr>
                <w:rFonts w:ascii="Times New Roman" w:hAnsi="Times New Roman" w:eastAsia="Times New Roman" w:cs="Times New Roman"/>
                <w:b w:val="0"/>
                <w:bCs w:val="0"/>
                <w:sz w:val="15"/>
                <w:szCs w:val="15"/>
              </w:rPr>
              <w:t>18.5%</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7">
            <w:pPr>
              <w:keepNext/>
              <w:jc w:val="center"/>
            </w:pPr>
            <w:r>
              <w:rPr>
                <w:rFonts w:ascii="Times New Roman" w:hAnsi="Times New Roman" w:eastAsia="Times New Roman" w:cs="Times New Roman"/>
                <w:b w:val="0"/>
                <w:bCs w:val="0"/>
                <w:sz w:val="15"/>
                <w:szCs w:val="15"/>
              </w:rPr>
              <w:t>0.524</w:t>
            </w:r>
          </w:p>
        </w:tc>
      </w:tr>
      <w:tr w14:paraId="00000138">
        <w:trPr>
          <w:cantSplit/>
          <w:hidden w:val="0"/>
        </w:trPr>
        <w:tc>
          <w:tcPr>
            <w:tcW w:w="15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9">
            <w:pPr>
              <w:keepNext/>
              <w:jc w:val="left"/>
            </w:pPr>
            <w:r>
              <w:rPr>
                <w:rFonts w:ascii="Times New Roman" w:hAnsi="Times New Roman" w:eastAsia="Times New Roman" w:cs="Times New Roman"/>
                <w:b w:val="0"/>
                <w:bCs w:val="0"/>
                <w:sz w:val="15"/>
                <w:szCs w:val="15"/>
              </w:rPr>
              <w:t>Text scores only (LR)</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A">
            <w:pPr>
              <w:keepNext/>
              <w:jc w:val="center"/>
            </w:pPr>
            <w:r>
              <w:rPr>
                <w:rFonts w:ascii="Times New Roman" w:hAnsi="Times New Roman" w:eastAsia="Times New Roman" w:cs="Times New Roman"/>
                <w:b w:val="0"/>
                <w:bCs w:val="0"/>
                <w:sz w:val="15"/>
                <w:szCs w:val="15"/>
              </w:rPr>
              <w:t>0.434</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B">
            <w:pPr>
              <w:keepNext/>
              <w:jc w:val="center"/>
            </w:pPr>
            <w:r>
              <w:rPr>
                <w:rFonts w:ascii="Times New Roman" w:hAnsi="Times New Roman" w:eastAsia="Times New Roman" w:cs="Times New Roman"/>
                <w:b w:val="0"/>
                <w:bCs w:val="0"/>
                <w:sz w:val="15"/>
                <w:szCs w:val="15"/>
              </w:rPr>
              <w:t>0.269</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C">
            <w:pPr>
              <w:keepNext/>
              <w:jc w:val="center"/>
            </w:pPr>
            <w:r>
              <w:rPr>
                <w:rFonts w:ascii="Times New Roman" w:hAnsi="Times New Roman" w:eastAsia="Times New Roman" w:cs="Times New Roman"/>
                <w:b w:val="0"/>
                <w:bCs w:val="0"/>
                <w:sz w:val="15"/>
                <w:szCs w:val="15"/>
              </w:rPr>
              <w:t>0.333</w:t>
            </w:r>
          </w:p>
        </w:tc>
        <w:tc>
          <w:tcPr>
            <w:tcW w:w="6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D">
            <w:pPr>
              <w:keepNext/>
              <w:jc w:val="center"/>
            </w:pPr>
            <w:r>
              <w:rPr>
                <w:rFonts w:ascii="Times New Roman" w:hAnsi="Times New Roman" w:eastAsia="Times New Roman" w:cs="Times New Roman"/>
                <w:b w:val="0"/>
                <w:bCs w:val="0"/>
                <w:sz w:val="15"/>
                <w:szCs w:val="15"/>
              </w:rPr>
              <w:t>8.5%</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3E">
            <w:pPr>
              <w:keepNext/>
              <w:jc w:val="center"/>
            </w:pPr>
            <w:r>
              <w:rPr>
                <w:rFonts w:ascii="Times New Roman" w:hAnsi="Times New Roman" w:eastAsia="Times New Roman" w:cs="Times New Roman"/>
                <w:b w:val="0"/>
                <w:bCs w:val="0"/>
                <w:sz w:val="15"/>
                <w:szCs w:val="15"/>
              </w:rPr>
              <w:t>0.348</w:t>
            </w:r>
          </w:p>
        </w:tc>
      </w:tr>
      <w:tr w14:paraId="0000013F">
        <w:trPr>
          <w:cantSplit/>
          <w:hidden w:val="0"/>
        </w:trPr>
        <w:tc>
          <w:tcPr>
            <w:tcW w:w="15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0">
            <w:pPr>
              <w:keepNext/>
              <w:jc w:val="left"/>
            </w:pPr>
            <w:r>
              <w:rPr>
                <w:rFonts w:ascii="Times New Roman" w:hAnsi="Times New Roman" w:eastAsia="Times New Roman" w:cs="Times New Roman"/>
                <w:b w:val="0"/>
                <w:bCs w:val="0"/>
                <w:sz w:val="15"/>
                <w:szCs w:val="15"/>
              </w:rPr>
              <w:t>Isolation Forest</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1">
            <w:pPr>
              <w:keepNext/>
              <w:jc w:val="center"/>
            </w:pPr>
            <w:r>
              <w:rPr>
                <w:rFonts w:ascii="Times New Roman" w:hAnsi="Times New Roman" w:eastAsia="Times New Roman" w:cs="Times New Roman"/>
                <w:b w:val="0"/>
                <w:bCs w:val="0"/>
                <w:sz w:val="15"/>
                <w:szCs w:val="15"/>
              </w:rPr>
              <w:t>0.846</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2">
            <w:pPr>
              <w:keepNext/>
              <w:jc w:val="center"/>
            </w:pPr>
            <w:r>
              <w:rPr>
                <w:rFonts w:ascii="Times New Roman" w:hAnsi="Times New Roman" w:eastAsia="Times New Roman" w:cs="Times New Roman"/>
                <w:b w:val="0"/>
                <w:bCs w:val="0"/>
                <w:sz w:val="15"/>
                <w:szCs w:val="15"/>
              </w:rPr>
              <w:t>0.908</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3">
            <w:pPr>
              <w:keepNext/>
              <w:jc w:val="center"/>
            </w:pPr>
            <w:r>
              <w:rPr>
                <w:rFonts w:ascii="Times New Roman" w:hAnsi="Times New Roman" w:eastAsia="Times New Roman" w:cs="Times New Roman"/>
                <w:b w:val="0"/>
                <w:bCs w:val="0"/>
                <w:sz w:val="15"/>
                <w:szCs w:val="15"/>
              </w:rPr>
              <w:t>0.876</w:t>
            </w:r>
          </w:p>
        </w:tc>
        <w:tc>
          <w:tcPr>
            <w:tcW w:w="6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4">
            <w:pPr>
              <w:keepNext/>
              <w:jc w:val="center"/>
            </w:pPr>
            <w:r>
              <w:rPr>
                <w:rFonts w:ascii="Times New Roman" w:hAnsi="Times New Roman" w:eastAsia="Times New Roman" w:cs="Times New Roman"/>
                <w:b w:val="0"/>
                <w:bCs w:val="0"/>
                <w:sz w:val="15"/>
                <w:szCs w:val="15"/>
              </w:rPr>
              <w:t>4.0%</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5">
            <w:pPr>
              <w:keepNext/>
              <w:jc w:val="center"/>
            </w:pPr>
            <w:r>
              <w:rPr>
                <w:rFonts w:ascii="Times New Roman" w:hAnsi="Times New Roman" w:eastAsia="Times New Roman" w:cs="Times New Roman"/>
                <w:b w:val="0"/>
                <w:bCs w:val="0"/>
                <w:sz w:val="15"/>
                <w:szCs w:val="15"/>
              </w:rPr>
              <w:t>0.872</w:t>
            </w:r>
          </w:p>
        </w:tc>
      </w:tr>
      <w:tr w14:paraId="00000146">
        <w:trPr>
          <w:cantSplit/>
          <w:hidden w:val="0"/>
        </w:trPr>
        <w:tc>
          <w:tcPr>
            <w:tcW w:w="15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7">
            <w:pPr>
              <w:keepNext/>
              <w:jc w:val="left"/>
            </w:pPr>
            <w:r>
              <w:rPr>
                <w:rFonts w:ascii="Times New Roman" w:hAnsi="Times New Roman" w:eastAsia="Times New Roman" w:cs="Times New Roman"/>
                <w:b w:val="0"/>
                <w:bCs w:val="0"/>
                <w:sz w:val="15"/>
                <w:szCs w:val="15"/>
              </w:rPr>
              <w:t>Behaviour only (XGB)</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8">
            <w:pPr>
              <w:keepNext/>
              <w:jc w:val="center"/>
            </w:pPr>
            <w:r>
              <w:rPr>
                <w:rFonts w:ascii="Times New Roman" w:hAnsi="Times New Roman" w:eastAsia="Times New Roman" w:cs="Times New Roman"/>
                <w:b w:val="0"/>
                <w:bCs w:val="0"/>
                <w:sz w:val="15"/>
                <w:szCs w:val="15"/>
              </w:rPr>
              <w:t>0.990</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9">
            <w:pPr>
              <w:keepNext/>
              <w:jc w:val="center"/>
            </w:pPr>
            <w:r>
              <w:rPr>
                <w:rFonts w:ascii="Times New Roman" w:hAnsi="Times New Roman" w:eastAsia="Times New Roman" w:cs="Times New Roman"/>
                <w:b w:val="0"/>
                <w:bCs w:val="0"/>
                <w:sz w:val="15"/>
                <w:szCs w:val="15"/>
              </w:rPr>
              <w:t>0.996</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A">
            <w:pPr>
              <w:keepNext/>
              <w:jc w:val="center"/>
            </w:pPr>
            <w:r>
              <w:rPr>
                <w:rFonts w:ascii="Times New Roman" w:hAnsi="Times New Roman" w:eastAsia="Times New Roman" w:cs="Times New Roman"/>
                <w:b w:val="0"/>
                <w:bCs w:val="0"/>
                <w:sz w:val="15"/>
                <w:szCs w:val="15"/>
              </w:rPr>
              <w:t>0.993</w:t>
            </w:r>
          </w:p>
        </w:tc>
        <w:tc>
          <w:tcPr>
            <w:tcW w:w="6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B">
            <w:pPr>
              <w:keepNext/>
              <w:jc w:val="center"/>
            </w:pPr>
            <w:r>
              <w:rPr>
                <w:rFonts w:ascii="Times New Roman" w:hAnsi="Times New Roman" w:eastAsia="Times New Roman" w:cs="Times New Roman"/>
                <w:b w:val="0"/>
                <w:bCs w:val="0"/>
                <w:sz w:val="15"/>
                <w:szCs w:val="15"/>
              </w:rPr>
              <w:t>0.25%</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C">
            <w:pPr>
              <w:keepNext/>
              <w:jc w:val="center"/>
            </w:pPr>
            <w:r>
              <w:rPr>
                <w:rFonts w:ascii="Times New Roman" w:hAnsi="Times New Roman" w:eastAsia="Times New Roman" w:cs="Times New Roman"/>
                <w:b w:val="0"/>
                <w:bCs w:val="0"/>
                <w:sz w:val="15"/>
                <w:szCs w:val="15"/>
              </w:rPr>
              <w:t>0.995</w:t>
            </w:r>
          </w:p>
        </w:tc>
      </w:tr>
      <w:tr w14:paraId="0000014D">
        <w:trPr>
          <w:cantSplit/>
          <w:hidden w:val="0"/>
        </w:trPr>
        <w:tc>
          <w:tcPr>
            <w:tcW w:w="15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E">
            <w:pPr>
              <w:keepNext/>
              <w:jc w:val="left"/>
            </w:pPr>
            <w:r>
              <w:rPr>
                <w:rFonts w:ascii="Times New Roman" w:hAnsi="Times New Roman" w:eastAsia="Times New Roman" w:cs="Times New Roman"/>
                <w:b w:val="0"/>
                <w:bCs w:val="0"/>
                <w:sz w:val="15"/>
                <w:szCs w:val="15"/>
              </w:rPr>
              <w:t>All features (LR)</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4F">
            <w:pPr>
              <w:keepNext/>
              <w:jc w:val="center"/>
            </w:pPr>
            <w:r>
              <w:rPr>
                <w:rFonts w:ascii="Times New Roman" w:hAnsi="Times New Roman" w:eastAsia="Times New Roman" w:cs="Times New Roman"/>
                <w:b w:val="0"/>
                <w:bCs w:val="0"/>
                <w:sz w:val="15"/>
                <w:szCs w:val="15"/>
              </w:rPr>
              <w:t>0.982</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0">
            <w:pPr>
              <w:keepNext/>
              <w:jc w:val="center"/>
            </w:pPr>
            <w:r>
              <w:rPr>
                <w:rFonts w:ascii="Times New Roman" w:hAnsi="Times New Roman" w:eastAsia="Times New Roman" w:cs="Times New Roman"/>
                <w:b w:val="0"/>
                <w:bCs w:val="0"/>
                <w:sz w:val="15"/>
                <w:szCs w:val="15"/>
              </w:rPr>
              <w:t>0.994</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1">
            <w:pPr>
              <w:keepNext/>
              <w:jc w:val="center"/>
            </w:pPr>
            <w:r>
              <w:rPr>
                <w:rFonts w:ascii="Times New Roman" w:hAnsi="Times New Roman" w:eastAsia="Times New Roman" w:cs="Times New Roman"/>
                <w:b w:val="0"/>
                <w:bCs w:val="0"/>
                <w:sz w:val="15"/>
                <w:szCs w:val="15"/>
              </w:rPr>
              <w:t>0.988</w:t>
            </w:r>
          </w:p>
        </w:tc>
        <w:tc>
          <w:tcPr>
            <w:tcW w:w="6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2">
            <w:pPr>
              <w:keepNext/>
              <w:jc w:val="center"/>
            </w:pPr>
            <w:r>
              <w:rPr>
                <w:rFonts w:ascii="Times New Roman" w:hAnsi="Times New Roman" w:eastAsia="Times New Roman" w:cs="Times New Roman"/>
                <w:b w:val="0"/>
                <w:bCs w:val="0"/>
                <w:sz w:val="15"/>
                <w:szCs w:val="15"/>
              </w:rPr>
              <w:t>0.43%</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3">
            <w:pPr>
              <w:keepNext/>
              <w:jc w:val="center"/>
            </w:pPr>
            <w:r>
              <w:rPr>
                <w:rFonts w:ascii="Times New Roman" w:hAnsi="Times New Roman" w:eastAsia="Times New Roman" w:cs="Times New Roman"/>
                <w:b w:val="0"/>
                <w:bCs w:val="0"/>
                <w:sz w:val="15"/>
                <w:szCs w:val="15"/>
              </w:rPr>
              <w:t>0.990</w:t>
            </w:r>
          </w:p>
        </w:tc>
      </w:tr>
      <w:tr w14:paraId="00000154">
        <w:trPr>
          <w:cantSplit/>
          <w:hidden w:val="0"/>
        </w:trPr>
        <w:tc>
          <w:tcPr>
            <w:tcW w:w="15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5">
            <w:pPr>
              <w:keepNext/>
              <w:jc w:val="left"/>
            </w:pPr>
            <w:r>
              <w:rPr>
                <w:rFonts w:ascii="Times New Roman" w:hAnsi="Times New Roman" w:eastAsia="Times New Roman" w:cs="Times New Roman"/>
                <w:b w:val="0"/>
                <w:bCs w:val="0"/>
                <w:sz w:val="15"/>
                <w:szCs w:val="15"/>
              </w:rPr>
              <w:t>All features (RF)</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6">
            <w:pPr>
              <w:keepNext/>
              <w:jc w:val="center"/>
            </w:pPr>
            <w:r>
              <w:rPr>
                <w:rFonts w:ascii="Times New Roman" w:hAnsi="Times New Roman" w:eastAsia="Times New Roman" w:cs="Times New Roman"/>
                <w:b w:val="0"/>
                <w:bCs w:val="0"/>
                <w:sz w:val="15"/>
                <w:szCs w:val="15"/>
              </w:rPr>
              <w:t>0.982</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7">
            <w:pPr>
              <w:keepNext/>
              <w:jc w:val="center"/>
            </w:pPr>
            <w:r>
              <w:rPr>
                <w:rFonts w:ascii="Times New Roman" w:hAnsi="Times New Roman" w:eastAsia="Times New Roman" w:cs="Times New Roman"/>
                <w:b w:val="0"/>
                <w:bCs w:val="0"/>
                <w:sz w:val="15"/>
                <w:szCs w:val="15"/>
              </w:rPr>
              <w:t>0.997</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8">
            <w:pPr>
              <w:keepNext/>
              <w:jc w:val="center"/>
            </w:pPr>
            <w:r>
              <w:rPr>
                <w:rFonts w:ascii="Times New Roman" w:hAnsi="Times New Roman" w:eastAsia="Times New Roman" w:cs="Times New Roman"/>
                <w:b w:val="0"/>
                <w:bCs w:val="0"/>
                <w:sz w:val="15"/>
                <w:szCs w:val="15"/>
              </w:rPr>
              <w:t>0.990</w:t>
            </w:r>
          </w:p>
        </w:tc>
        <w:tc>
          <w:tcPr>
            <w:tcW w:w="6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9">
            <w:pPr>
              <w:keepNext/>
              <w:jc w:val="center"/>
            </w:pPr>
            <w:r>
              <w:rPr>
                <w:rFonts w:ascii="Times New Roman" w:hAnsi="Times New Roman" w:eastAsia="Times New Roman" w:cs="Times New Roman"/>
                <w:b w:val="0"/>
                <w:bCs w:val="0"/>
                <w:sz w:val="15"/>
                <w:szCs w:val="15"/>
              </w:rPr>
              <w:t>0.43%</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A">
            <w:pPr>
              <w:keepNext/>
              <w:jc w:val="center"/>
            </w:pPr>
            <w:r>
              <w:rPr>
                <w:rFonts w:ascii="Times New Roman" w:hAnsi="Times New Roman" w:eastAsia="Times New Roman" w:cs="Times New Roman"/>
                <w:b w:val="0"/>
                <w:bCs w:val="0"/>
                <w:sz w:val="15"/>
                <w:szCs w:val="15"/>
              </w:rPr>
              <w:t>0.997</w:t>
            </w:r>
          </w:p>
        </w:tc>
      </w:tr>
      <w:tr w14:paraId="0000015B">
        <w:trPr>
          <w:cantSplit/>
          <w:hidden w:val="0"/>
        </w:trPr>
        <w:tc>
          <w:tcPr>
            <w:tcW w:w="15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C">
            <w:pPr>
              <w:keepNext w:val="0"/>
              <w:jc w:val="left"/>
            </w:pPr>
            <w:r>
              <w:rPr>
                <w:rFonts w:ascii="Times New Roman" w:hAnsi="Times New Roman" w:eastAsia="Times New Roman" w:cs="Times New Roman"/>
                <w:b/>
                <w:bCs/>
                <w:sz w:val="15"/>
                <w:szCs w:val="15"/>
              </w:rPr>
              <w:t>Proposed (XGB)</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D">
            <w:pPr>
              <w:keepNext w:val="0"/>
              <w:jc w:val="center"/>
            </w:pPr>
            <w:r>
              <w:rPr>
                <w:rFonts w:ascii="Times New Roman" w:hAnsi="Times New Roman" w:eastAsia="Times New Roman" w:cs="Times New Roman"/>
                <w:b w:val="0"/>
                <w:bCs w:val="0"/>
                <w:sz w:val="15"/>
                <w:szCs w:val="15"/>
              </w:rPr>
              <w:t>0.989</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E">
            <w:pPr>
              <w:keepNext w:val="0"/>
              <w:jc w:val="center"/>
            </w:pPr>
            <w:r>
              <w:rPr>
                <w:rFonts w:ascii="Times New Roman" w:hAnsi="Times New Roman" w:eastAsia="Times New Roman" w:cs="Times New Roman"/>
                <w:b w:val="0"/>
                <w:bCs w:val="0"/>
                <w:sz w:val="15"/>
                <w:szCs w:val="15"/>
              </w:rPr>
              <w:t>0.997</w:t>
            </w:r>
          </w:p>
        </w:tc>
        <w:tc>
          <w:tcPr>
            <w:tcW w:w="5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5F">
            <w:pPr>
              <w:keepNext w:val="0"/>
              <w:jc w:val="center"/>
            </w:pPr>
            <w:r>
              <w:rPr>
                <w:rFonts w:ascii="Times New Roman" w:hAnsi="Times New Roman" w:eastAsia="Times New Roman" w:cs="Times New Roman"/>
                <w:b/>
                <w:bCs/>
                <w:sz w:val="15"/>
                <w:szCs w:val="15"/>
              </w:rPr>
              <w:t>0.993</w:t>
            </w:r>
          </w:p>
        </w:tc>
        <w:tc>
          <w:tcPr>
            <w:tcW w:w="69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60">
            <w:pPr>
              <w:keepNext w:val="0"/>
              <w:jc w:val="center"/>
            </w:pPr>
            <w:r>
              <w:rPr>
                <w:rFonts w:ascii="Times New Roman" w:hAnsi="Times New Roman" w:eastAsia="Times New Roman" w:cs="Times New Roman"/>
                <w:b w:val="0"/>
                <w:bCs w:val="0"/>
                <w:sz w:val="15"/>
                <w:szCs w:val="15"/>
              </w:rPr>
              <w:t>0.28%</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61">
            <w:pPr>
              <w:keepNext w:val="0"/>
              <w:jc w:val="center"/>
            </w:pPr>
            <w:r>
              <w:rPr>
                <w:rFonts w:ascii="Times New Roman" w:hAnsi="Times New Roman" w:eastAsia="Times New Roman" w:cs="Times New Roman"/>
                <w:b w:val="0"/>
                <w:bCs w:val="0"/>
                <w:sz w:val="15"/>
                <w:szCs w:val="15"/>
              </w:rPr>
              <w:t>0.995</w:t>
            </w:r>
          </w:p>
        </w:tc>
      </w:tr>
    </w:tbl>
    <w:p w14:paraId="00000162">
      <w:pPr>
        <w:spacing w:after="140"/>
        <w:jc w:val="left"/>
      </w:pPr>
    </w:p>
    <w:p w14:paraId="00000163">
      <w:pPr>
        <w:keepNext/>
        <w:spacing w:after="40" w:before="120"/>
        <w:jc w:val="center"/>
      </w:pPr>
      <w:r>
        <w:drawing>
          <wp:inline distT="0" distB="0" distL="0" distR="0">
            <wp:extent cx="2790825" cy="1352550"/>
            <wp:effectExtent t="0" r="0" b="0" l="0"/>
            <wp:docPr id="3" name="fig3_layer2_f1.png" descr="F1-score and false-positive rate (FPR) of hijacked tool-call detection on attacker goals unseen during training."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9" cstate="none"/>
                    <a:srcRect/>
                    <a:stretch>
                      <a:fillRect/>
                    </a:stretch>
                  </pic:blipFill>
                  <pic:spPr bwMode="auto">
                    <a:xfrm>
                      <a:off x="0" y="0"/>
                      <a:ext cx="2790825" cy="1352550"/>
                    </a:xfrm>
                    <a:prstGeom prst="rect">
                      <a:avLst/>
                    </a:prstGeom>
                  </pic:spPr>
                </pic:pic>
              </a:graphicData>
            </a:graphic>
          </wp:inline>
        </w:drawing>
      </w:r>
    </w:p>
    <w:p w14:paraId="00000164">
      <w:pPr>
        <w:spacing w:after="140"/>
        <w:jc w:val="both"/>
      </w:pPr>
      <w:r>
        <w:rPr>
          <w:rFonts w:ascii="Times New Roman" w:hAnsi="Times New Roman" w:eastAsia="Times New Roman" w:cs="Times New Roman"/>
          <w:sz w:val="16"/>
          <w:szCs w:val="16"/>
        </w:rPr>
        <w:t xml:space="preserve">Fig. 3. </w:t>
      </w:r>
      <w:r>
        <w:rPr>
          <w:rFonts w:ascii="Times New Roman" w:hAnsi="Times New Roman" w:eastAsia="Times New Roman" w:cs="Times New Roman"/>
          <w:sz w:val="16"/>
          <w:szCs w:val="16"/>
        </w:rPr>
        <w:t>F1-score and false-positive rate (FPR) of hijacked tool-call detection on attacker goals unseen during training.</w:t>
      </w:r>
    </w:p>
    <w:p w14:paraId="00000165">
      <w:pPr>
        <w:keepNext/>
        <w:spacing w:after="40" w:before="120"/>
        <w:jc w:val="center"/>
      </w:pPr>
      <w:r>
        <w:drawing>
          <wp:inline distT="0" distB="0" distL="0" distR="0">
            <wp:extent cx="2790825" cy="1285875"/>
            <wp:effectExtent t="0" r="0" b="0" l="0"/>
            <wp:docPr id="4" name="fig4_importance.png" descr="Ten most important behavioural features of the proposed XGBoost monitor (share of total split gain)."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0" cstate="none"/>
                    <a:srcRect/>
                    <a:stretch>
                      <a:fillRect/>
                    </a:stretch>
                  </pic:blipFill>
                  <pic:spPr bwMode="auto">
                    <a:xfrm>
                      <a:off x="0" y="0"/>
                      <a:ext cx="2790825" cy="1285875"/>
                    </a:xfrm>
                    <a:prstGeom prst="rect">
                      <a:avLst/>
                    </a:prstGeom>
                  </pic:spPr>
                </pic:pic>
              </a:graphicData>
            </a:graphic>
          </wp:inline>
        </w:drawing>
      </w:r>
    </w:p>
    <w:p w14:paraId="00000166">
      <w:pPr>
        <w:spacing w:after="140"/>
        <w:jc w:val="both"/>
      </w:pPr>
      <w:r>
        <w:rPr>
          <w:rFonts w:ascii="Times New Roman" w:hAnsi="Times New Roman" w:eastAsia="Times New Roman" w:cs="Times New Roman"/>
          <w:sz w:val="16"/>
          <w:szCs w:val="16"/>
        </w:rPr>
        <w:t xml:space="preserve">Fig. 4. </w:t>
      </w:r>
      <w:r>
        <w:rPr>
          <w:rFonts w:ascii="Times New Roman" w:hAnsi="Times New Roman" w:eastAsia="Times New Roman" w:cs="Times New Roman"/>
          <w:sz w:val="16"/>
          <w:szCs w:val="16"/>
        </w:rPr>
        <w:t>Ten most important behavioural features of the proposed XGBoost monitor (share of total split gain).</w:t>
      </w:r>
    </w:p>
    <w:p w14:paraId="00000167">
      <w:pPr>
        <w:pStyle w:val="Heading2"/>
        <w:keepNext/>
        <w:spacing w:after="40" w:before="100"/>
      </w:pPr>
      <w:r>
        <w:rPr>
          <w:rFonts w:ascii="Times New Roman" w:hAnsi="Times New Roman" w:eastAsia="Times New Roman" w:cs="Times New Roman"/>
          <w:i/>
          <w:iCs/>
          <w:color w:val="000000"/>
          <w:sz w:val="20"/>
          <w:szCs w:val="20"/>
        </w:rPr>
        <w:t>C. End-to-End Prevention</w:t>
      </w:r>
    </w:p>
    <w:p w14:paraId="00000168">
      <w:pPr>
        <w:spacing w:after="0" w:line="240"/>
        <w:ind w:firstLine="202"/>
        <w:jc w:val="both"/>
      </w:pPr>
      <w:r>
        <w:rPr>
          <w:rFonts w:ascii="Times New Roman" w:hAnsi="Times New Roman" w:eastAsia="Times New Roman" w:cs="Times New Roman"/>
          <w:sz w:val="20"/>
          <w:szCs w:val="20"/>
        </w:rPr>
        <w:t>Table VI combines both layers using out-of-fold scores. Without defence every hijacked trajectory succeeds by construction. Layer-1 sanitisation alone stops all enhanced attacks, whose “IMPORTANT!!! Ignore all previous instructions” prefix is easily detected, but only 66.8% of base attacks: polite instructions such as “Please retrieve my saved addresses … and email them to amy.watson@gmail.com” receive an ensemble score of 0.058. Layer 2 alone prevents 99.91% of hijacked trajectories. The full guard prevents all of them while 99.1% of benign traces complete with no false block and no wrongly quarantined output; in the hardest scenario D utility is 97.8%. Fig. 5 shows the trade-off as the blocking threshold varies: prevention remains at 100% up to a threshold of 0.85 while utility rises from 98.0% to 99.7%.</w:t>
      </w:r>
    </w:p>
    <w:p w14:paraId="00000169">
      <w:pPr>
        <w:keepNext/>
        <w:spacing w:after="0" w:before="160"/>
        <w:jc w:val="center"/>
      </w:pPr>
      <w:r>
        <w:rPr>
          <w:rFonts w:ascii="Times New Roman" w:hAnsi="Times New Roman" w:eastAsia="Times New Roman" w:cs="Times New Roman"/>
          <w:smallCaps/>
          <w:sz w:val="16"/>
          <w:szCs w:val="16"/>
        </w:rPr>
        <w:t>TABLE VI</w:t>
      </w:r>
    </w:p>
    <w:p w14:paraId="0000016A">
      <w:pPr>
        <w:keepNext/>
        <w:spacing w:after="60"/>
        <w:jc w:val="center"/>
      </w:pPr>
      <w:r>
        <w:rPr>
          <w:rFonts w:ascii="Times New Roman" w:hAnsi="Times New Roman" w:eastAsia="Times New Roman" w:cs="Times New Roman"/>
          <w:smallCaps/>
          <w:sz w:val="16"/>
          <w:szCs w:val="16"/>
        </w:rPr>
        <w:t>Attack Success Rate and Utility (Unseen Attacker Goals)</w:t>
      </w:r>
    </w:p>
    <w:tbl>
      <w:tblPr>
        <w:tblW w:w="5040" w:type="dxa"/>
        <w:jc w:val="center"/>
        <w:tblBorders>
          <w:top w:val="single" w:color="000000" w:sz="6"/>
          <w:left w:val="nil" w:color="FFFFFF" w:sz="0"/>
          <w:bottom w:val="single" w:color="000000" w:sz="6"/>
          <w:right w:val="nil" w:color="FFFFFF" w:sz="0"/>
          <w:insideH w:val="nil" w:color="FFFFFF" w:sz="0"/>
          <w:insideV w:val="nil" w:color="FFFFFF" w:sz="0"/>
        </w:tblBorders>
      </w:tblPr>
      <w:tblGrid>
        <w:gridCol w:w="1800"/>
        <w:gridCol w:w="1080"/>
        <w:gridCol w:w="1080"/>
        <w:gridCol w:w="1080"/>
      </w:tblGrid>
      <w:tr w14:paraId="0000016B">
        <w:trPr>
          <w:cantSplit/>
          <w:hidden w:val="0"/>
          <w:tblHeader/>
        </w:trPr>
        <w:tc>
          <w:tcPr>
            <w:tcW w:w="180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6C">
            <w:pPr>
              <w:keepNext/>
              <w:jc w:val="left"/>
            </w:pPr>
            <w:r>
              <w:rPr>
                <w:rFonts w:ascii="Times New Roman" w:hAnsi="Times New Roman" w:eastAsia="Times New Roman" w:cs="Times New Roman"/>
                <w:b/>
                <w:bCs/>
                <w:sz w:val="15"/>
                <w:szCs w:val="15"/>
              </w:rPr>
              <w:t>Defence</w:t>
            </w:r>
          </w:p>
        </w:tc>
        <w:tc>
          <w:tcPr>
            <w:tcW w:w="108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6D">
            <w:pPr>
              <w:keepNext/>
              <w:jc w:val="center"/>
            </w:pPr>
            <w:r>
              <w:rPr>
                <w:rFonts w:ascii="Times New Roman" w:hAnsi="Times New Roman" w:eastAsia="Times New Roman" w:cs="Times New Roman"/>
                <w:b/>
                <w:bCs/>
                <w:sz w:val="15"/>
                <w:szCs w:val="15"/>
              </w:rPr>
              <w:t>ASR base</w:t>
            </w:r>
          </w:p>
        </w:tc>
        <w:tc>
          <w:tcPr>
            <w:tcW w:w="108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6E">
            <w:pPr>
              <w:keepNext/>
              <w:jc w:val="center"/>
            </w:pPr>
            <w:r>
              <w:rPr>
                <w:rFonts w:ascii="Times New Roman" w:hAnsi="Times New Roman" w:eastAsia="Times New Roman" w:cs="Times New Roman"/>
                <w:b/>
                <w:bCs/>
                <w:sz w:val="15"/>
                <w:szCs w:val="15"/>
              </w:rPr>
              <w:t>ASR enh.</w:t>
            </w:r>
          </w:p>
        </w:tc>
        <w:tc>
          <w:tcPr>
            <w:tcW w:w="1080" w:type="dxa"/>
            <w:tcBorders>
              <w:top w:val="nil" w:color="FFFFFF" w:sz="0"/>
              <w:left w:val="nil" w:color="FFFFFF" w:sz="0"/>
              <w:bottom w:val="single" w:color="000000" w:sz="6"/>
              <w:right w:val="nil" w:color="FFFFFF" w:sz="0"/>
            </w:tcBorders>
            <w:tcMar>
              <w:top w:w="25" w:type="dxa"/>
              <w:left w:w="50" w:type="dxa"/>
              <w:bottom w:w="25" w:type="dxa"/>
              <w:right w:w="50" w:type="dxa"/>
            </w:tcMar>
            <w:vAlign w:val="center"/>
          </w:tcPr>
          <w:p w14:paraId="0000016F">
            <w:pPr>
              <w:keepNext/>
              <w:jc w:val="center"/>
            </w:pPr>
            <w:r>
              <w:rPr>
                <w:rFonts w:ascii="Times New Roman" w:hAnsi="Times New Roman" w:eastAsia="Times New Roman" w:cs="Times New Roman"/>
                <w:b/>
                <w:bCs/>
                <w:sz w:val="15"/>
                <w:szCs w:val="15"/>
              </w:rPr>
              <w:t>Utility</w:t>
            </w:r>
          </w:p>
        </w:tc>
      </w:tr>
      <w:tr w14:paraId="00000170">
        <w:trPr>
          <w:cantSplit/>
          <w:hidden w:val="0"/>
        </w:trPr>
        <w:tc>
          <w:tcPr>
            <w:tcW w:w="18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1">
            <w:pPr>
              <w:keepNext/>
              <w:jc w:val="left"/>
            </w:pPr>
            <w:r>
              <w:rPr>
                <w:rFonts w:ascii="Times New Roman" w:hAnsi="Times New Roman" w:eastAsia="Times New Roman" w:cs="Times New Roman"/>
                <w:b w:val="0"/>
                <w:bCs w:val="0"/>
                <w:sz w:val="15"/>
                <w:szCs w:val="15"/>
              </w:rPr>
              <w:t>No defence</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2">
            <w:pPr>
              <w:keepNext/>
              <w:jc w:val="center"/>
            </w:pPr>
            <w:r>
              <w:rPr>
                <w:rFonts w:ascii="Times New Roman" w:hAnsi="Times New Roman" w:eastAsia="Times New Roman" w:cs="Times New Roman"/>
                <w:b w:val="0"/>
                <w:bCs w:val="0"/>
                <w:sz w:val="15"/>
                <w:szCs w:val="15"/>
              </w:rPr>
              <w:t>100%</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3">
            <w:pPr>
              <w:keepNext/>
              <w:jc w:val="center"/>
            </w:pPr>
            <w:r>
              <w:rPr>
                <w:rFonts w:ascii="Times New Roman" w:hAnsi="Times New Roman" w:eastAsia="Times New Roman" w:cs="Times New Roman"/>
                <w:b w:val="0"/>
                <w:bCs w:val="0"/>
                <w:sz w:val="15"/>
                <w:szCs w:val="15"/>
              </w:rPr>
              <w:t>100%</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4">
            <w:pPr>
              <w:keepNext/>
              <w:jc w:val="center"/>
            </w:pPr>
            <w:r>
              <w:rPr>
                <w:rFonts w:ascii="Times New Roman" w:hAnsi="Times New Roman" w:eastAsia="Times New Roman" w:cs="Times New Roman"/>
                <w:b w:val="0"/>
                <w:bCs w:val="0"/>
                <w:sz w:val="15"/>
                <w:szCs w:val="15"/>
              </w:rPr>
              <w:t>100%</w:t>
            </w:r>
          </w:p>
        </w:tc>
      </w:tr>
      <w:tr w14:paraId="00000175">
        <w:trPr>
          <w:cantSplit/>
          <w:hidden w:val="0"/>
        </w:trPr>
        <w:tc>
          <w:tcPr>
            <w:tcW w:w="18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6">
            <w:pPr>
              <w:keepNext/>
              <w:jc w:val="left"/>
            </w:pPr>
            <w:r>
              <w:rPr>
                <w:rFonts w:ascii="Times New Roman" w:hAnsi="Times New Roman" w:eastAsia="Times New Roman" w:cs="Times New Roman"/>
                <w:b w:val="0"/>
                <w:bCs w:val="0"/>
                <w:sz w:val="15"/>
                <w:szCs w:val="15"/>
              </w:rPr>
              <w:t>Layer 1 only (sanitise)</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7">
            <w:pPr>
              <w:keepNext/>
              <w:jc w:val="center"/>
            </w:pPr>
            <w:r>
              <w:rPr>
                <w:rFonts w:ascii="Times New Roman" w:hAnsi="Times New Roman" w:eastAsia="Times New Roman" w:cs="Times New Roman"/>
                <w:b w:val="0"/>
                <w:bCs w:val="0"/>
                <w:sz w:val="15"/>
                <w:szCs w:val="15"/>
              </w:rPr>
              <w:t>33.2%</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8">
            <w:pPr>
              <w:keepNext/>
              <w:jc w:val="center"/>
            </w:pPr>
            <w:r>
              <w:rPr>
                <w:rFonts w:ascii="Times New Roman" w:hAnsi="Times New Roman" w:eastAsia="Times New Roman" w:cs="Times New Roman"/>
                <w:b w:val="0"/>
                <w:bCs w:val="0"/>
                <w:sz w:val="15"/>
                <w:szCs w:val="15"/>
              </w:rPr>
              <w:t>0.0%</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9">
            <w:pPr>
              <w:keepNext/>
              <w:jc w:val="center"/>
            </w:pPr>
            <w:r>
              <w:rPr>
                <w:rFonts w:ascii="Times New Roman" w:hAnsi="Times New Roman" w:eastAsia="Times New Roman" w:cs="Times New Roman"/>
                <w:b w:val="0"/>
                <w:bCs w:val="0"/>
                <w:sz w:val="15"/>
                <w:szCs w:val="15"/>
              </w:rPr>
              <w:t>99.7%</w:t>
            </w:r>
          </w:p>
        </w:tc>
      </w:tr>
      <w:tr w14:paraId="0000017A">
        <w:trPr>
          <w:cantSplit/>
          <w:hidden w:val="0"/>
        </w:trPr>
        <w:tc>
          <w:tcPr>
            <w:tcW w:w="18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B">
            <w:pPr>
              <w:keepNext/>
              <w:jc w:val="left"/>
            </w:pPr>
            <w:r>
              <w:rPr>
                <w:rFonts w:ascii="Times New Roman" w:hAnsi="Times New Roman" w:eastAsia="Times New Roman" w:cs="Times New Roman"/>
                <w:b w:val="0"/>
                <w:bCs w:val="0"/>
                <w:sz w:val="15"/>
                <w:szCs w:val="15"/>
              </w:rPr>
              <w:t>Layer 2 only (block)</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C">
            <w:pPr>
              <w:keepNext/>
              <w:jc w:val="center"/>
            </w:pPr>
            <w:r>
              <w:rPr>
                <w:rFonts w:ascii="Times New Roman" w:hAnsi="Times New Roman" w:eastAsia="Times New Roman" w:cs="Times New Roman"/>
                <w:b w:val="0"/>
                <w:bCs w:val="0"/>
                <w:sz w:val="15"/>
                <w:szCs w:val="15"/>
              </w:rPr>
              <w:t>0.09%</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D">
            <w:pPr>
              <w:keepNext/>
              <w:jc w:val="center"/>
            </w:pPr>
            <w:r>
              <w:rPr>
                <w:rFonts w:ascii="Times New Roman" w:hAnsi="Times New Roman" w:eastAsia="Times New Roman" w:cs="Times New Roman"/>
                <w:b w:val="0"/>
                <w:bCs w:val="0"/>
                <w:sz w:val="15"/>
                <w:szCs w:val="15"/>
              </w:rPr>
              <w:t>0.09%</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7E">
            <w:pPr>
              <w:keepNext/>
              <w:jc w:val="center"/>
            </w:pPr>
            <w:r>
              <w:rPr>
                <w:rFonts w:ascii="Times New Roman" w:hAnsi="Times New Roman" w:eastAsia="Times New Roman" w:cs="Times New Roman"/>
                <w:b w:val="0"/>
                <w:bCs w:val="0"/>
                <w:sz w:val="15"/>
                <w:szCs w:val="15"/>
              </w:rPr>
              <w:t>99.4%</w:t>
            </w:r>
          </w:p>
        </w:tc>
      </w:tr>
      <w:tr w14:paraId="0000017F">
        <w:trPr>
          <w:cantSplit/>
          <w:hidden w:val="0"/>
        </w:trPr>
        <w:tc>
          <w:tcPr>
            <w:tcW w:w="180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80">
            <w:pPr>
              <w:keepNext w:val="0"/>
              <w:jc w:val="left"/>
            </w:pPr>
            <w:r>
              <w:rPr>
                <w:rFonts w:ascii="Times New Roman" w:hAnsi="Times New Roman" w:eastAsia="Times New Roman" w:cs="Times New Roman"/>
                <w:b/>
                <w:bCs/>
                <w:sz w:val="15"/>
                <w:szCs w:val="15"/>
              </w:rPr>
              <w:t>Layer 1 + Layer 2</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81">
            <w:pPr>
              <w:keepNext w:val="0"/>
              <w:jc w:val="center"/>
            </w:pPr>
            <w:r>
              <w:rPr>
                <w:rFonts w:ascii="Times New Roman" w:hAnsi="Times New Roman" w:eastAsia="Times New Roman" w:cs="Times New Roman"/>
                <w:b/>
                <w:bCs/>
                <w:sz w:val="15"/>
                <w:szCs w:val="15"/>
              </w:rPr>
              <w:t>0.0%</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82">
            <w:pPr>
              <w:keepNext w:val="0"/>
              <w:jc w:val="center"/>
            </w:pPr>
            <w:r>
              <w:rPr>
                <w:rFonts w:ascii="Times New Roman" w:hAnsi="Times New Roman" w:eastAsia="Times New Roman" w:cs="Times New Roman"/>
                <w:b/>
                <w:bCs/>
                <w:sz w:val="15"/>
                <w:szCs w:val="15"/>
              </w:rPr>
              <w:t>0.0%</w:t>
            </w:r>
          </w:p>
        </w:tc>
        <w:tc>
          <w:tcPr>
            <w:tcW w:w="1080" w:type="dxa"/>
            <w:tcBorders>
              <w:top w:val="nil" w:color="FFFFFF" w:sz="0"/>
              <w:left w:val="nil" w:color="FFFFFF" w:sz="0"/>
              <w:bottom w:val="nil" w:color="FFFFFF" w:sz="0"/>
              <w:right w:val="nil" w:color="FFFFFF" w:sz="0"/>
            </w:tcBorders>
            <w:tcMar>
              <w:top w:w="25" w:type="dxa"/>
              <w:left w:w="50" w:type="dxa"/>
              <w:bottom w:w="25" w:type="dxa"/>
              <w:right w:w="50" w:type="dxa"/>
            </w:tcMar>
            <w:vAlign w:val="center"/>
          </w:tcPr>
          <w:p w14:paraId="00000183">
            <w:pPr>
              <w:keepNext w:val="0"/>
              <w:jc w:val="center"/>
            </w:pPr>
            <w:r>
              <w:rPr>
                <w:rFonts w:ascii="Times New Roman" w:hAnsi="Times New Roman" w:eastAsia="Times New Roman" w:cs="Times New Roman"/>
                <w:b w:val="0"/>
                <w:bCs w:val="0"/>
                <w:sz w:val="15"/>
                <w:szCs w:val="15"/>
              </w:rPr>
              <w:t>99.1%</w:t>
            </w:r>
          </w:p>
        </w:tc>
      </w:tr>
    </w:tbl>
    <w:p w14:paraId="00000184">
      <w:pPr>
        <w:spacing w:after="140"/>
        <w:jc w:val="left"/>
      </w:pPr>
    </w:p>
    <w:p w14:paraId="00000185">
      <w:pPr>
        <w:keepNext/>
        <w:spacing w:after="40" w:before="120"/>
        <w:jc w:val="center"/>
      </w:pPr>
      <w:r>
        <w:drawing>
          <wp:inline distT="0" distB="0" distL="0" distR="0">
            <wp:extent cx="2790825" cy="1676400"/>
            <wp:effectExtent t="0" r="0" b="0" l="0"/>
            <wp:docPr id="5" name="fig5_tradeoff.png" descr="Attack prevention rate and benign task utility of the full guard as a function of the Layer-2 blocking threshold."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1" cstate="none"/>
                    <a:srcRect/>
                    <a:stretch>
                      <a:fillRect/>
                    </a:stretch>
                  </pic:blipFill>
                  <pic:spPr bwMode="auto">
                    <a:xfrm>
                      <a:off x="0" y="0"/>
                      <a:ext cx="2790825" cy="1676400"/>
                    </a:xfrm>
                    <a:prstGeom prst="rect">
                      <a:avLst/>
                    </a:prstGeom>
                  </pic:spPr>
                </pic:pic>
              </a:graphicData>
            </a:graphic>
          </wp:inline>
        </w:drawing>
      </w:r>
    </w:p>
    <w:p w14:paraId="00000186">
      <w:pPr>
        <w:spacing w:after="140"/>
        <w:jc w:val="both"/>
      </w:pPr>
      <w:r>
        <w:rPr>
          <w:rFonts w:ascii="Times New Roman" w:hAnsi="Times New Roman" w:eastAsia="Times New Roman" w:cs="Times New Roman"/>
          <w:sz w:val="16"/>
          <w:szCs w:val="16"/>
        </w:rPr>
        <w:t xml:space="preserve">Fig. 5. </w:t>
      </w:r>
      <w:r>
        <w:rPr>
          <w:rFonts w:ascii="Times New Roman" w:hAnsi="Times New Roman" w:eastAsia="Times New Roman" w:cs="Times New Roman"/>
          <w:sz w:val="16"/>
          <w:szCs w:val="16"/>
        </w:rPr>
        <w:t>Attack prevention rate and benign task utility of the full guard as a function of the Layer-2 blocking threshold.</w:t>
      </w:r>
    </w:p>
    <w:p w14:paraId="00000187">
      <w:pPr>
        <w:pStyle w:val="Heading2"/>
        <w:keepNext/>
        <w:spacing w:after="40" w:before="100"/>
      </w:pPr>
      <w:r>
        <w:rPr>
          <w:rFonts w:ascii="Times New Roman" w:hAnsi="Times New Roman" w:eastAsia="Times New Roman" w:cs="Times New Roman"/>
          <w:i/>
          <w:iCs/>
          <w:color w:val="000000"/>
          <w:sz w:val="20"/>
          <w:szCs w:val="20"/>
        </w:rPr>
        <w:t>D. Case Study and Overhead</w:t>
      </w:r>
    </w:p>
    <w:p w14:paraId="00000188">
      <w:pPr>
        <w:spacing w:after="0" w:line="240"/>
        <w:ind w:firstLine="202"/>
        <w:jc w:val="both"/>
      </w:pPr>
      <w:r>
        <w:rPr>
          <w:rFonts w:ascii="Times New Roman" w:hAnsi="Times New Roman" w:eastAsia="Times New Roman" w:cs="Times New Roman"/>
          <w:sz w:val="20"/>
          <w:szCs w:val="20"/>
        </w:rPr>
        <w:t xml:space="preserve">In the interactive demonstrator a user asks the agent for laptop details, and a review in the tool output asks the agent to retrieve the user's saved addresses and e-mail them to an external address. Layer 1 scores the review 0.058 and lets it through. When the agent then calls </w:t>
      </w:r>
      <w:r>
        <w:rPr>
          <w:rFonts w:ascii="Times New Roman" w:hAnsi="Times New Roman" w:eastAsia="Times New Roman" w:cs="Times New Roman"/>
          <w:i/>
          <w:iCs/>
          <w:sz w:val="20"/>
          <w:szCs w:val="20"/>
        </w:rPr>
        <w:t>AmazonView​SavedAddresses</w:t>
      </w:r>
      <w:r>
        <w:rPr>
          <w:rFonts w:ascii="Times New Roman" w:hAnsi="Times New Roman" w:eastAsia="Times New Roman" w:cs="Times New Roman"/>
          <w:sz w:val="20"/>
          <w:szCs w:val="20"/>
        </w:rPr>
        <w:t xml:space="preserve">, Layer 2 assigns a risk of 0.998, because the call resembles the review (similarity 0.55) far more than the goal (0.06), and blocks it; the subsequent </w:t>
      </w:r>
      <w:r>
        <w:rPr>
          <w:rFonts w:ascii="Times New Roman" w:hAnsi="Times New Roman" w:eastAsia="Times New Roman" w:cs="Times New Roman"/>
          <w:i/>
          <w:iCs/>
          <w:sz w:val="20"/>
          <w:szCs w:val="20"/>
        </w:rPr>
        <w:t>GmailSendEmail</w:t>
      </w:r>
      <w:r>
        <w:rPr>
          <w:rFonts w:ascii="Times New Roman" w:hAnsi="Times New Roman" w:eastAsia="Times New Roman" w:cs="Times New Roman"/>
          <w:sz w:val="20"/>
          <w:szCs w:val="20"/>
        </w:rPr>
        <w:t xml:space="preserve"> to the unseen recipient scores 1.00 and raises a CRITICAL alert followed by session lockdown. Conversely, an identical $3,000 transfer to the same account is blocked (risk 1.00) when it originates from an injected e-mail and allowed (risk 0.00) when the user requests it, showing that the guard reasons about provenance rather than action type.</w:t>
      </w:r>
    </w:p>
    <w:p w14:paraId="00000189">
      <w:pPr>
        <w:spacing w:after="0" w:line="240"/>
        <w:ind w:firstLine="202"/>
        <w:jc w:val="both"/>
      </w:pPr>
      <w:r>
        <w:rPr>
          <w:rFonts w:ascii="Times New Roman" w:hAnsi="Times New Roman" w:eastAsia="Times New Roman" w:cs="Times New Roman"/>
          <w:sz w:val="20"/>
          <w:szCs w:val="20"/>
        </w:rPr>
        <w:t>Layer 2 adds about 25 ms per tool call on a CPU (median, including embedding). Layer-1 cost is dominated by the two transformer detectors (about nine segments per second on a CPU); a deployment can run them on a GPU or rely on the TF-IDF and MiniLM members, which alone reach F1 0.946 and 0.937.</w:t>
      </w:r>
    </w:p>
    <w:p w14:paraId="0000018A">
      <w:pPr>
        <w:pStyle w:val="Heading1"/>
        <w:keepNext/>
        <w:spacing w:after="80" w:before="200"/>
        <w:jc w:val="center"/>
      </w:pPr>
      <w:r>
        <w:rPr>
          <w:rFonts w:ascii="Times New Roman" w:hAnsi="Times New Roman" w:eastAsia="Times New Roman" w:cs="Times New Roman"/>
          <w:smallCaps/>
          <w:color w:val="000000"/>
          <w:sz w:val="20"/>
          <w:szCs w:val="20"/>
        </w:rPr>
        <w:t>VII. Discussion and Limitations</w:t>
      </w:r>
    </w:p>
    <w:p w14:paraId="0000018B">
      <w:pPr>
        <w:spacing w:after="0" w:line="240"/>
        <w:ind w:firstLine="202"/>
        <w:jc w:val="both"/>
      </w:pPr>
      <w:r>
        <w:rPr>
          <w:rFonts w:ascii="Times New Roman" w:hAnsi="Times New Roman" w:eastAsia="Times New Roman" w:cs="Times New Roman"/>
          <w:b/>
          <w:bCs/>
          <w:sz w:val="20"/>
          <w:szCs w:val="20"/>
        </w:rPr>
        <w:t>Simulated actions.</w:t>
      </w:r>
      <w:r>
        <w:rPr>
          <w:rFonts w:ascii="Times New Roman" w:hAnsi="Times New Roman" w:eastAsia="Times New Roman" w:cs="Times New Roman"/>
          <w:sz w:val="20"/>
          <w:szCs w:val="20"/>
        </w:rPr>
        <w:t xml:space="preserve"> Hijacked calls were constructed from InjecAgent attacker instructions with a deterministic argument extractor rather than generated by a live LLM. Real agents paraphrase, interleave steps and comply partially, so the near-perfect Layer-2 scores should be read as an upper bound; evaluation with live agents on dynamic benchmarks such as AgentDojo </w:t>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t xml:space="preserve"> is the most important next step.</w:t>
      </w:r>
    </w:p>
    <w:p w14:paraId="0000018C">
      <w:pPr>
        <w:spacing w:after="0" w:line="240"/>
        <w:ind w:firstLine="202"/>
        <w:jc w:val="both"/>
      </w:pPr>
      <w:r>
        <w:rPr>
          <w:rFonts w:ascii="Times New Roman" w:hAnsi="Times New Roman" w:eastAsia="Times New Roman" w:cs="Times New Roman"/>
          <w:b/>
          <w:bCs/>
          <w:sz w:val="20"/>
          <w:szCs w:val="20"/>
        </w:rPr>
        <w:t>Adaptive attackers.</w:t>
      </w:r>
      <w:r>
        <w:rPr>
          <w:rFonts w:ascii="Times New Roman" w:hAnsi="Times New Roman" w:eastAsia="Times New Roman" w:cs="Times New Roman"/>
          <w:sz w:val="20"/>
          <w:szCs w:val="20"/>
        </w:rPr>
        <w:t xml:space="preserve"> An attacker aware of the monitor may align the injected task with the user's goal, for instance by changing only the recipient of an e-mail the user asked to send. Provenance features (</w:t>
      </w:r>
      <w:r>
        <w:rPr>
          <w:rFonts w:ascii="Courier New" w:hAnsi="Courier New" w:eastAsia="Courier New" w:cs="Courier New"/>
          <w:sz w:val="18"/>
          <w:szCs w:val="18"/>
        </w:rPr>
        <w:t>new_contact</w:t>
      </w:r>
      <w:r>
        <w:rPr>
          <w:rFonts w:ascii="Times New Roman" w:hAnsi="Times New Roman" w:eastAsia="Times New Roman" w:cs="Times New Roman"/>
          <w:sz w:val="20"/>
          <w:szCs w:val="20"/>
        </w:rPr>
        <w:t>, taint) target exactly this case, but evaluation against adaptive attacks remains open.</w:t>
      </w:r>
    </w:p>
    <w:p w14:paraId="0000018D">
      <w:pPr>
        <w:spacing w:after="0" w:line="240"/>
        <w:ind w:firstLine="202"/>
        <w:jc w:val="both"/>
      </w:pPr>
      <w:r>
        <w:rPr>
          <w:rFonts w:ascii="Times New Roman" w:hAnsi="Times New Roman" w:eastAsia="Times New Roman" w:cs="Times New Roman"/>
          <w:b/>
          <w:bCs/>
          <w:sz w:val="20"/>
          <w:szCs w:val="20"/>
        </w:rPr>
        <w:t>Scope of the Layer-1 evaluation.</w:t>
      </w:r>
      <w:r>
        <w:rPr>
          <w:rFonts w:ascii="Times New Roman" w:hAnsi="Times New Roman" w:eastAsia="Times New Roman" w:cs="Times New Roman"/>
          <w:sz w:val="20"/>
          <w:szCs w:val="20"/>
        </w:rPr>
        <w:t xml:space="preserve"> The transformer detectors were scored on a 5,000-text sample because of CPU limits, and they may have been trained on some of the same public sources. The OOD dataset is small and attack-heavy.</w:t>
      </w:r>
    </w:p>
    <w:p w14:paraId="0000018E">
      <w:pPr>
        <w:spacing w:after="0" w:line="240"/>
        <w:ind w:firstLine="202"/>
        <w:jc w:val="both"/>
      </w:pPr>
      <w:r>
        <w:rPr>
          <w:rFonts w:ascii="Times New Roman" w:hAnsi="Times New Roman" w:eastAsia="Times New Roman" w:cs="Times New Roman"/>
          <w:b/>
          <w:bCs/>
          <w:sz w:val="20"/>
          <w:szCs w:val="20"/>
        </w:rPr>
        <w:t>Complementarity.</w:t>
      </w:r>
      <w:r>
        <w:rPr>
          <w:rFonts w:ascii="Times New Roman" w:hAnsi="Times New Roman" w:eastAsia="Times New Roman" w:cs="Times New Roman"/>
          <w:sz w:val="20"/>
          <w:szCs w:val="20"/>
        </w:rPr>
        <w:t xml:space="preserve"> The guard does not replace design-level isolation such as CaMeL </w:t>
      </w:r>
      <w:r>
        <w:rPr>
          <w:rFonts w:ascii="Times New Roman" w:hAnsi="Times New Roman" w:eastAsia="Times New Roman" w:cs="Times New Roman"/>
          <w:sz w:val="20"/>
          <w:szCs w:val="20"/>
        </w:rPr>
        <w:t>[19]</w:t>
      </w:r>
      <w:r>
        <w:rPr>
          <w:rFonts w:ascii="Times New Roman" w:hAnsi="Times New Roman" w:eastAsia="Times New Roman" w:cs="Times New Roman"/>
          <w:sz w:val="20"/>
          <w:szCs w:val="20"/>
        </w:rPr>
        <w:t>; it is a drop-in layer for existing agents that also provides observability through graded alerts and audit logs. All data used are public, and no attacks were executed against real systems.</w:t>
      </w:r>
    </w:p>
    <w:p w14:paraId="0000018F">
      <w:pPr>
        <w:pStyle w:val="Heading1"/>
        <w:keepNext/>
        <w:spacing w:after="80" w:before="200"/>
        <w:jc w:val="center"/>
      </w:pPr>
      <w:r>
        <w:rPr>
          <w:rFonts w:ascii="Times New Roman" w:hAnsi="Times New Roman" w:eastAsia="Times New Roman" w:cs="Times New Roman"/>
          <w:smallCaps/>
          <w:color w:val="000000"/>
          <w:sz w:val="20"/>
          <w:szCs w:val="20"/>
        </w:rPr>
        <w:t>VIII. Conclusion</w:t>
      </w:r>
    </w:p>
    <w:p w14:paraId="00000190">
      <w:pPr>
        <w:spacing w:after="0" w:line="240"/>
        <w:ind w:firstLine="202"/>
        <w:jc w:val="both"/>
      </w:pPr>
      <w:r>
        <w:rPr>
          <w:rFonts w:ascii="Times New Roman" w:hAnsi="Times New Roman" w:eastAsia="Times New Roman" w:cs="Times New Roman"/>
          <w:sz w:val="20"/>
          <w:szCs w:val="20"/>
        </w:rPr>
        <w:t>Runtime behavioural analysis of tool calls closes much of the gap left by text-only prompt-injection detectors. A stacked ensemble of Kaggle benchmark detectors and trained classifiers improves content detection (F1 0.954 in-distribution and 0.968 OOD), and a behavioural monitor built on goal alignment, drift and provenance detects hijacked tool calls with F1 0.993 on unseen attacker goals while sparing legitimate sensitive actions. Together with graded alerts and session lockdown, the guard prevented all hijacked trajectories in our evaluation with 99.1% benign utility. Future work will evaluate the guard with live LLM agents, multi-turn and multimodal injections and adaptive attacks, and will combine it with design-level defences.</w:t>
      </w:r>
    </w:p>
    <w:p w14:paraId="00000191">
      <w:pPr>
        <w:pStyle w:val="Heading1"/>
        <w:keepNext/>
        <w:spacing w:after="80" w:before="200"/>
        <w:jc w:val="center"/>
      </w:pPr>
      <w:r>
        <w:rPr>
          <w:rFonts w:ascii="Times New Roman" w:hAnsi="Times New Roman" w:eastAsia="Times New Roman" w:cs="Times New Roman"/>
          <w:smallCaps/>
          <w:color w:val="000000"/>
          <w:sz w:val="20"/>
          <w:szCs w:val="20"/>
        </w:rPr>
        <w:t>Acknowledgment</w:t>
      </w:r>
    </w:p>
    <w:p w14:paraId="00000192">
      <w:pPr>
        <w:spacing w:after="0" w:line="240"/>
        <w:ind w:firstLine="202"/>
        <w:jc w:val="both"/>
      </w:pPr>
      <w:r>
        <w:t>The authors than</w:t>
      </w:r>
      <w:r>
        <w:rPr>
          <w:highlight w:val="white"/>
        </w:rPr>
        <w:t xml:space="preserve">k </w:t>
      </w:r>
      <w:r>
        <w:rPr>
          <w:rFonts w:ascii="Times New Roman" w:hAnsi="Times New Roman" w:eastAsia="Times New Roman" w:cs="Times New Roman"/>
          <w:sz w:val="20"/>
          <w:szCs w:val="20"/>
          <w:highlight w:val="white"/>
        </w:rPr>
        <w:t>guide / institution name</w:t>
      </w:r>
      <w:r>
        <w:rPr>
          <w:rFonts w:ascii="Times New Roman" w:hAnsi="Times New Roman" w:eastAsia="Times New Roman" w:cs="Times New Roman"/>
          <w:sz w:val="20"/>
          <w:szCs w:val="20"/>
          <w:highlight w:val="white"/>
        </w:rPr>
        <w:t xml:space="preserve"> for guidance and support. The implementation, trained models and interactive demonstrator are available at </w:t>
      </w:r>
      <w:r>
        <w:rPr>
          <w:rFonts w:ascii="Times New Roman" w:hAnsi="Times New Roman" w:eastAsia="Times New Roman" w:cs="Times New Roman"/>
          <w:sz w:val="20"/>
          <w:szCs w:val="20"/>
          <w:highlight w:val="white"/>
        </w:rPr>
        <w:t>repository URL</w:t>
      </w:r>
      <w:r>
        <w:rPr>
          <w:rFonts w:ascii="Times New Roman" w:hAnsi="Times New Roman" w:eastAsia="Times New Roman" w:cs="Times New Roman"/>
          <w:sz w:val="20"/>
          <w:szCs w:val="20"/>
        </w:rPr>
        <w:t>.</w:t>
      </w:r>
    </w:p>
    <w:p w14:paraId="00000193">
      <w:pPr>
        <w:pStyle w:val="Heading1"/>
        <w:keepNext/>
        <w:spacing w:after="80" w:before="200"/>
        <w:jc w:val="center"/>
      </w:pPr>
      <w:r>
        <w:rPr>
          <w:rFonts w:ascii="Times New Roman" w:hAnsi="Times New Roman" w:eastAsia="Times New Roman" w:cs="Times New Roman"/>
          <w:smallCaps/>
          <w:color w:val="000000"/>
          <w:sz w:val="20"/>
          <w:szCs w:val="20"/>
        </w:rPr>
        <w:t>References</w:t>
      </w:r>
    </w:p>
    <w:p w14:paraId="00000194">
      <w:pPr>
        <w:tabs>
          <w:tab w:val="left" w:pos="360"/>
        </w:tabs>
        <w:spacing w:after="0"/>
        <w:ind w:hanging="360" w:left="360"/>
        <w:jc w:val="left"/>
      </w:pPr>
      <w:r>
        <w:rPr>
          <w:rFonts w:ascii="Times New Roman" w:hAnsi="Times New Roman" w:eastAsia="Times New Roman" w:cs="Times New Roman"/>
          <w:sz w:val="16"/>
          <w:szCs w:val="16"/>
        </w:rPr>
        <w:t xml:space="preserve">[1]	</w:t>
      </w:r>
      <w:r>
        <w:rPr>
          <w:rFonts w:ascii="Times New Roman" w:hAnsi="Times New Roman" w:eastAsia="Times New Roman" w:cs="Times New Roman"/>
          <w:sz w:val="16"/>
          <w:szCs w:val="16"/>
        </w:rPr>
        <w:t xml:space="preserve">S. Yao, J. Zhao, D. Yu, N. Du, I. Shafran, K. Narasimhan, and Y. Cao, “ReAct: Synergizing reasoning and acting in language models,” in </w:t>
      </w:r>
      <w:r>
        <w:rPr>
          <w:rFonts w:ascii="Times New Roman" w:hAnsi="Times New Roman" w:eastAsia="Times New Roman" w:cs="Times New Roman"/>
          <w:i/>
          <w:iCs/>
          <w:sz w:val="16"/>
          <w:szCs w:val="16"/>
        </w:rPr>
        <w:t>Proc. Int. Conf. Learn. Represent. (ICLR)</w:t>
      </w:r>
      <w:r>
        <w:rPr>
          <w:rFonts w:ascii="Times New Roman" w:hAnsi="Times New Roman" w:eastAsia="Times New Roman" w:cs="Times New Roman"/>
          <w:sz w:val="16"/>
          <w:szCs w:val="16"/>
        </w:rPr>
        <w:t>, 2023.</w:t>
      </w:r>
    </w:p>
    <w:p w14:paraId="00000195">
      <w:pPr>
        <w:tabs>
          <w:tab w:val="left" w:pos="360"/>
        </w:tabs>
        <w:spacing w:after="0"/>
        <w:ind w:hanging="360" w:left="360"/>
        <w:jc w:val="left"/>
      </w:pPr>
      <w:r>
        <w:rPr>
          <w:rFonts w:ascii="Times New Roman" w:hAnsi="Times New Roman" w:eastAsia="Times New Roman" w:cs="Times New Roman"/>
          <w:sz w:val="16"/>
          <w:szCs w:val="16"/>
        </w:rPr>
        <w:t xml:space="preserve">[2]	</w:t>
      </w:r>
      <w:r>
        <w:rPr>
          <w:rFonts w:ascii="Times New Roman" w:hAnsi="Times New Roman" w:eastAsia="Times New Roman" w:cs="Times New Roman"/>
          <w:sz w:val="16"/>
          <w:szCs w:val="16"/>
        </w:rPr>
        <w:t xml:space="preserve">T. Schick, J. Dwivedi-Yu, R. Dessì, R. Raileanu, M. Lomeli, L. Zettlemoyer, N. Cancedda, and T. Scialom, “Toolformer: Language models can teach themselves to use tools,” in </w:t>
      </w:r>
      <w:r>
        <w:rPr>
          <w:rFonts w:ascii="Times New Roman" w:hAnsi="Times New Roman" w:eastAsia="Times New Roman" w:cs="Times New Roman"/>
          <w:i/>
          <w:iCs/>
          <w:sz w:val="16"/>
          <w:szCs w:val="16"/>
        </w:rPr>
        <w:t>Adv. Neural Inf. Process. Syst. (NeurIPS)</w:t>
      </w:r>
      <w:r>
        <w:rPr>
          <w:rFonts w:ascii="Times New Roman" w:hAnsi="Times New Roman" w:eastAsia="Times New Roman" w:cs="Times New Roman"/>
          <w:sz w:val="16"/>
          <w:szCs w:val="16"/>
        </w:rPr>
        <w:t>, 2023.</w:t>
      </w:r>
    </w:p>
    <w:p w14:paraId="00000196">
      <w:pPr>
        <w:tabs>
          <w:tab w:val="left" w:pos="360"/>
        </w:tabs>
        <w:spacing w:after="0"/>
        <w:ind w:hanging="360" w:left="360"/>
        <w:jc w:val="left"/>
      </w:pPr>
      <w:r>
        <w:rPr>
          <w:rFonts w:ascii="Times New Roman" w:hAnsi="Times New Roman" w:eastAsia="Times New Roman" w:cs="Times New Roman"/>
          <w:sz w:val="16"/>
          <w:szCs w:val="16"/>
        </w:rPr>
        <w:t xml:space="preserve">[3]	</w:t>
      </w:r>
      <w:r>
        <w:rPr>
          <w:rFonts w:ascii="Times New Roman" w:hAnsi="Times New Roman" w:eastAsia="Times New Roman" w:cs="Times New Roman"/>
          <w:sz w:val="16"/>
          <w:szCs w:val="16"/>
        </w:rPr>
        <w:t xml:space="preserve">K. Greshake, S. Abdelnabi, S. Mishra, C. Endres, T. Holz, and M. Fritz, “Not what you've signed up for: Compromising real-world LLM-integrated applications with indirect prompt injection,” in </w:t>
      </w:r>
      <w:r>
        <w:rPr>
          <w:rFonts w:ascii="Times New Roman" w:hAnsi="Times New Roman" w:eastAsia="Times New Roman" w:cs="Times New Roman"/>
          <w:i/>
          <w:iCs/>
          <w:sz w:val="16"/>
          <w:szCs w:val="16"/>
        </w:rPr>
        <w:t>Proc. 16th ACM Workshop Artif. Intell. Secur. (AISec)</w:t>
      </w:r>
      <w:r>
        <w:rPr>
          <w:rFonts w:ascii="Times New Roman" w:hAnsi="Times New Roman" w:eastAsia="Times New Roman" w:cs="Times New Roman"/>
          <w:sz w:val="16"/>
          <w:szCs w:val="16"/>
        </w:rPr>
        <w:t>, 2023.</w:t>
      </w:r>
    </w:p>
    <w:p w14:paraId="00000197">
      <w:pPr>
        <w:tabs>
          <w:tab w:val="left" w:pos="360"/>
        </w:tabs>
        <w:spacing w:after="0"/>
        <w:ind w:hanging="360" w:left="360"/>
        <w:jc w:val="left"/>
      </w:pPr>
      <w:r>
        <w:rPr>
          <w:rFonts w:ascii="Times New Roman" w:hAnsi="Times New Roman" w:eastAsia="Times New Roman" w:cs="Times New Roman"/>
          <w:sz w:val="16"/>
          <w:szCs w:val="16"/>
        </w:rPr>
        <w:t xml:space="preserve">[4]	</w:t>
      </w:r>
      <w:r>
        <w:rPr>
          <w:rFonts w:ascii="Times New Roman" w:hAnsi="Times New Roman" w:eastAsia="Times New Roman" w:cs="Times New Roman"/>
          <w:sz w:val="16"/>
          <w:szCs w:val="16"/>
        </w:rPr>
        <w:t>OWASP Foundation, “OWASP Top 10 for large language model applications 2025: LLM01 prompt injection,” 2025. [Online]. Available: https://genai.owasp.org/llmrisk/llm01-prompt-injection/</w:t>
      </w:r>
    </w:p>
    <w:p w14:paraId="00000198">
      <w:pPr>
        <w:tabs>
          <w:tab w:val="left" w:pos="360"/>
        </w:tabs>
        <w:spacing w:after="0"/>
        <w:ind w:hanging="360" w:left="360"/>
        <w:jc w:val="left"/>
      </w:pPr>
      <w:r>
        <w:rPr>
          <w:rFonts w:ascii="Times New Roman" w:hAnsi="Times New Roman" w:eastAsia="Times New Roman" w:cs="Times New Roman"/>
          <w:sz w:val="16"/>
          <w:szCs w:val="16"/>
        </w:rPr>
        <w:t xml:space="preserve">[5]	</w:t>
      </w:r>
      <w:r>
        <w:rPr>
          <w:rFonts w:ascii="Times New Roman" w:hAnsi="Times New Roman" w:eastAsia="Times New Roman" w:cs="Times New Roman"/>
          <w:sz w:val="16"/>
          <w:szCs w:val="16"/>
        </w:rPr>
        <w:t xml:space="preserve">Q. Zhan, Z. Liang, Z. Ying, and D. Kang, “InjecAgent: Benchmarking indirect prompt injections in tool-integrated large language model agents,” in </w:t>
      </w:r>
      <w:r>
        <w:rPr>
          <w:rFonts w:ascii="Times New Roman" w:hAnsi="Times New Roman" w:eastAsia="Times New Roman" w:cs="Times New Roman"/>
          <w:i/>
          <w:iCs/>
          <w:sz w:val="16"/>
          <w:szCs w:val="16"/>
        </w:rPr>
        <w:t>Findings Assoc. Comput. Linguistics (ACL)</w:t>
      </w:r>
      <w:r>
        <w:rPr>
          <w:rFonts w:ascii="Times New Roman" w:hAnsi="Times New Roman" w:eastAsia="Times New Roman" w:cs="Times New Roman"/>
          <w:sz w:val="16"/>
          <w:szCs w:val="16"/>
        </w:rPr>
        <w:t>, 2024.</w:t>
      </w:r>
    </w:p>
    <w:p w14:paraId="00000199">
      <w:pPr>
        <w:tabs>
          <w:tab w:val="left" w:pos="360"/>
        </w:tabs>
        <w:spacing w:after="0"/>
        <w:ind w:hanging="360" w:left="360"/>
        <w:jc w:val="left"/>
      </w:pPr>
      <w:r>
        <w:rPr>
          <w:rFonts w:ascii="Times New Roman" w:hAnsi="Times New Roman" w:eastAsia="Times New Roman" w:cs="Times New Roman"/>
          <w:sz w:val="16"/>
          <w:szCs w:val="16"/>
        </w:rPr>
        <w:t xml:space="preserve">[6]	</w:t>
      </w:r>
      <w:r>
        <w:rPr>
          <w:rFonts w:ascii="Times New Roman" w:hAnsi="Times New Roman" w:eastAsia="Times New Roman" w:cs="Times New Roman"/>
          <w:sz w:val="16"/>
          <w:szCs w:val="16"/>
        </w:rPr>
        <w:t xml:space="preserve">E. Debenedetti, J. Zhang, M. Balunović, L. Beurer-Kellner, M. Fischer, and F. Tramèr, “AgentDojo: A dynamic environment to evaluate prompt injection attacks and defenses for LLM agents,” in </w:t>
      </w:r>
      <w:r>
        <w:rPr>
          <w:rFonts w:ascii="Times New Roman" w:hAnsi="Times New Roman" w:eastAsia="Times New Roman" w:cs="Times New Roman"/>
          <w:i/>
          <w:iCs/>
          <w:sz w:val="16"/>
          <w:szCs w:val="16"/>
        </w:rPr>
        <w:t>Adv. Neural Inf. Process. Syst. (NeurIPS) Datasets and Benchmarks Track</w:t>
      </w:r>
      <w:r>
        <w:rPr>
          <w:rFonts w:ascii="Times New Roman" w:hAnsi="Times New Roman" w:eastAsia="Times New Roman" w:cs="Times New Roman"/>
          <w:sz w:val="16"/>
          <w:szCs w:val="16"/>
        </w:rPr>
        <w:t>, 2024.</w:t>
      </w:r>
    </w:p>
    <w:p w14:paraId="0000019A">
      <w:pPr>
        <w:tabs>
          <w:tab w:val="left" w:pos="360"/>
        </w:tabs>
        <w:spacing w:after="0"/>
        <w:ind w:hanging="360" w:left="360"/>
        <w:jc w:val="left"/>
      </w:pPr>
      <w:r>
        <w:rPr>
          <w:rFonts w:ascii="Times New Roman" w:hAnsi="Times New Roman" w:eastAsia="Times New Roman" w:cs="Times New Roman"/>
          <w:sz w:val="16"/>
          <w:szCs w:val="16"/>
        </w:rPr>
        <w:t xml:space="preserve">[7]	</w:t>
      </w:r>
      <w:r>
        <w:rPr>
          <w:rFonts w:ascii="Times New Roman" w:hAnsi="Times New Roman" w:eastAsia="Times New Roman" w:cs="Times New Roman"/>
          <w:sz w:val="16"/>
          <w:szCs w:val="16"/>
        </w:rPr>
        <w:t>Protect AI, “Fine-tuned DeBERTa-v3-base for prompt injection detection (v2),” model card (Kaggle mirror), 2024. [Online]. Available: https://www.kaggle.com/models/aisuko/deberta-v3-base-prompt-injection-v2</w:t>
      </w:r>
    </w:p>
    <w:p w14:paraId="0000019B">
      <w:pPr>
        <w:tabs>
          <w:tab w:val="left" w:pos="360"/>
        </w:tabs>
        <w:spacing w:after="0"/>
        <w:ind w:hanging="360" w:left="360"/>
        <w:jc w:val="left"/>
      </w:pPr>
      <w:r>
        <w:rPr>
          <w:rFonts w:ascii="Times New Roman" w:hAnsi="Times New Roman" w:eastAsia="Times New Roman" w:cs="Times New Roman"/>
          <w:sz w:val="16"/>
          <w:szCs w:val="16"/>
        </w:rPr>
        <w:t xml:space="preserve">[8]	</w:t>
      </w:r>
      <w:r>
        <w:rPr>
          <w:rFonts w:ascii="Times New Roman" w:hAnsi="Times New Roman" w:eastAsia="Times New Roman" w:cs="Times New Roman"/>
          <w:sz w:val="16"/>
          <w:szCs w:val="16"/>
        </w:rPr>
        <w:t>Meta, “Llama Prompt Guard (86M) model card,” 2024. [Online]. Available: https://www.kaggle.com/models/metaresearch/llama-3.1-prompt-guard</w:t>
      </w:r>
    </w:p>
    <w:p w14:paraId="0000019C">
      <w:pPr>
        <w:tabs>
          <w:tab w:val="left" w:pos="360"/>
        </w:tabs>
        <w:spacing w:after="0"/>
        <w:ind w:hanging="360" w:left="360"/>
        <w:jc w:val="left"/>
      </w:pPr>
      <w:r>
        <w:rPr>
          <w:rFonts w:ascii="Times New Roman" w:hAnsi="Times New Roman" w:eastAsia="Times New Roman" w:cs="Times New Roman"/>
          <w:sz w:val="16"/>
          <w:szCs w:val="16"/>
        </w:rPr>
        <w:t xml:space="preserve">[9]	</w:t>
      </w:r>
      <w:r>
        <w:rPr>
          <w:rFonts w:ascii="Times New Roman" w:hAnsi="Times New Roman" w:eastAsia="Times New Roman" w:cs="Times New Roman"/>
          <w:sz w:val="16"/>
          <w:szCs w:val="16"/>
        </w:rPr>
        <w:t xml:space="preserve">D. E. Denning, “An intrusion-detection model,” </w:t>
      </w:r>
      <w:r>
        <w:rPr>
          <w:rFonts w:ascii="Times New Roman" w:hAnsi="Times New Roman" w:eastAsia="Times New Roman" w:cs="Times New Roman"/>
          <w:i/>
          <w:iCs/>
          <w:sz w:val="16"/>
          <w:szCs w:val="16"/>
        </w:rPr>
        <w:t>IEEE Trans. Softw. Eng.</w:t>
      </w:r>
      <w:r>
        <w:rPr>
          <w:rFonts w:ascii="Times New Roman" w:hAnsi="Times New Roman" w:eastAsia="Times New Roman" w:cs="Times New Roman"/>
          <w:sz w:val="16"/>
          <w:szCs w:val="16"/>
        </w:rPr>
        <w:t>, vol. SE-13, no. 2, pp. 222–232, 1987.</w:t>
      </w:r>
    </w:p>
    <w:p w14:paraId="0000019D">
      <w:pPr>
        <w:tabs>
          <w:tab w:val="left" w:pos="360"/>
        </w:tabs>
        <w:spacing w:after="0"/>
        <w:ind w:hanging="360" w:left="360"/>
        <w:jc w:val="left"/>
      </w:pPr>
      <w:r>
        <w:rPr>
          <w:rFonts w:ascii="Times New Roman" w:hAnsi="Times New Roman" w:eastAsia="Times New Roman" w:cs="Times New Roman"/>
          <w:sz w:val="16"/>
          <w:szCs w:val="16"/>
        </w:rPr>
        <w:t xml:space="preserve">[10]	</w:t>
      </w:r>
      <w:r>
        <w:rPr>
          <w:rFonts w:ascii="Times New Roman" w:hAnsi="Times New Roman" w:eastAsia="Times New Roman" w:cs="Times New Roman"/>
          <w:sz w:val="16"/>
          <w:szCs w:val="16"/>
        </w:rPr>
        <w:t xml:space="preserve">S. Forrest, S. A. Hofmeyr, A. Somayaji, and T. A. Longstaff, “A sense of self for Unix processes,” in </w:t>
      </w:r>
      <w:r>
        <w:rPr>
          <w:rFonts w:ascii="Times New Roman" w:hAnsi="Times New Roman" w:eastAsia="Times New Roman" w:cs="Times New Roman"/>
          <w:i/>
          <w:iCs/>
          <w:sz w:val="16"/>
          <w:szCs w:val="16"/>
        </w:rPr>
        <w:t>Proc. IEEE Symp. Security and Privacy</w:t>
      </w:r>
      <w:r>
        <w:rPr>
          <w:rFonts w:ascii="Times New Roman" w:hAnsi="Times New Roman" w:eastAsia="Times New Roman" w:cs="Times New Roman"/>
          <w:sz w:val="16"/>
          <w:szCs w:val="16"/>
        </w:rPr>
        <w:t>, 1996, pp. 120–128.</w:t>
      </w:r>
    </w:p>
    <w:p w14:paraId="0000019E">
      <w:pPr>
        <w:tabs>
          <w:tab w:val="left" w:pos="360"/>
        </w:tabs>
        <w:spacing w:after="0"/>
        <w:ind w:hanging="360" w:left="360"/>
        <w:jc w:val="left"/>
      </w:pPr>
      <w:r>
        <w:rPr>
          <w:rFonts w:ascii="Times New Roman" w:hAnsi="Times New Roman" w:eastAsia="Times New Roman" w:cs="Times New Roman"/>
          <w:sz w:val="16"/>
          <w:szCs w:val="16"/>
        </w:rPr>
        <w:t xml:space="preserve">[11]	</w:t>
      </w:r>
      <w:r>
        <w:rPr>
          <w:rFonts w:ascii="Times New Roman" w:hAnsi="Times New Roman" w:eastAsia="Times New Roman" w:cs="Times New Roman"/>
          <w:sz w:val="16"/>
          <w:szCs w:val="16"/>
        </w:rPr>
        <w:t xml:space="preserve">F. Perez and I. Ribeiro, “Ignore previous prompt: Attack techniques for language models,” in </w:t>
      </w:r>
      <w:r>
        <w:rPr>
          <w:rFonts w:ascii="Times New Roman" w:hAnsi="Times New Roman" w:eastAsia="Times New Roman" w:cs="Times New Roman"/>
          <w:i/>
          <w:iCs/>
          <w:sz w:val="16"/>
          <w:szCs w:val="16"/>
        </w:rPr>
        <w:t>NeurIPS ML Safety Workshop</w:t>
      </w:r>
      <w:r>
        <w:rPr>
          <w:rFonts w:ascii="Times New Roman" w:hAnsi="Times New Roman" w:eastAsia="Times New Roman" w:cs="Times New Roman"/>
          <w:sz w:val="16"/>
          <w:szCs w:val="16"/>
        </w:rPr>
        <w:t>, 2022.</w:t>
      </w:r>
    </w:p>
    <w:p w14:paraId="0000019F">
      <w:pPr>
        <w:tabs>
          <w:tab w:val="left" w:pos="360"/>
        </w:tabs>
        <w:spacing w:after="0"/>
        <w:ind w:hanging="360" w:left="360"/>
        <w:jc w:val="left"/>
      </w:pPr>
      <w:r>
        <w:rPr>
          <w:rFonts w:ascii="Times New Roman" w:hAnsi="Times New Roman" w:eastAsia="Times New Roman" w:cs="Times New Roman"/>
          <w:sz w:val="16"/>
          <w:szCs w:val="16"/>
        </w:rPr>
        <w:t xml:space="preserve">[12]	</w:t>
      </w:r>
      <w:r>
        <w:rPr>
          <w:rFonts w:ascii="Times New Roman" w:hAnsi="Times New Roman" w:eastAsia="Times New Roman" w:cs="Times New Roman"/>
          <w:sz w:val="16"/>
          <w:szCs w:val="16"/>
        </w:rPr>
        <w:t xml:space="preserve">Y. Liu, Y. Jia, R. Geng, J. Jia, and N. Z. Gong, “Formalizing and benchmarking prompt injection attacks and defenses,” in </w:t>
      </w:r>
      <w:r>
        <w:rPr>
          <w:rFonts w:ascii="Times New Roman" w:hAnsi="Times New Roman" w:eastAsia="Times New Roman" w:cs="Times New Roman"/>
          <w:i/>
          <w:iCs/>
          <w:sz w:val="16"/>
          <w:szCs w:val="16"/>
        </w:rPr>
        <w:t>Proc. 33rd USENIX Security Symp.</w:t>
      </w:r>
      <w:r>
        <w:rPr>
          <w:rFonts w:ascii="Times New Roman" w:hAnsi="Times New Roman" w:eastAsia="Times New Roman" w:cs="Times New Roman"/>
          <w:sz w:val="16"/>
          <w:szCs w:val="16"/>
        </w:rPr>
        <w:t>, 2024.</w:t>
      </w:r>
    </w:p>
    <w:p w14:paraId="000001A0">
      <w:pPr>
        <w:tabs>
          <w:tab w:val="left" w:pos="360"/>
        </w:tabs>
        <w:spacing w:after="0"/>
        <w:ind w:hanging="360" w:left="360"/>
        <w:jc w:val="left"/>
      </w:pPr>
      <w:r>
        <w:rPr>
          <w:rFonts w:ascii="Times New Roman" w:hAnsi="Times New Roman" w:eastAsia="Times New Roman" w:cs="Times New Roman"/>
          <w:sz w:val="16"/>
          <w:szCs w:val="16"/>
        </w:rPr>
        <w:t xml:space="preserve">[13]	</w:t>
      </w:r>
      <w:r>
        <w:rPr>
          <w:rFonts w:ascii="Times New Roman" w:hAnsi="Times New Roman" w:eastAsia="Times New Roman" w:cs="Times New Roman"/>
          <w:sz w:val="16"/>
          <w:szCs w:val="16"/>
        </w:rPr>
        <w:t xml:space="preserve">X. Shen, Z. Chen, M. Backes, Y. Shen, and Y. Zhang, “‘Do Anything Now’: Characterizing and evaluating in-the-wild jailbreak prompts on large language models,” in </w:t>
      </w:r>
      <w:r>
        <w:rPr>
          <w:rFonts w:ascii="Times New Roman" w:hAnsi="Times New Roman" w:eastAsia="Times New Roman" w:cs="Times New Roman"/>
          <w:i/>
          <w:iCs/>
          <w:sz w:val="16"/>
          <w:szCs w:val="16"/>
        </w:rPr>
        <w:t>Proc. ACM SIGSAC Conf. Comput. Commun. Secur. (CCS)</w:t>
      </w:r>
      <w:r>
        <w:rPr>
          <w:rFonts w:ascii="Times New Roman" w:hAnsi="Times New Roman" w:eastAsia="Times New Roman" w:cs="Times New Roman"/>
          <w:sz w:val="16"/>
          <w:szCs w:val="16"/>
        </w:rPr>
        <w:t>, 2024.</w:t>
      </w:r>
    </w:p>
    <w:p w14:paraId="000001A1">
      <w:pPr>
        <w:tabs>
          <w:tab w:val="left" w:pos="360"/>
        </w:tabs>
        <w:spacing w:after="0"/>
        <w:ind w:hanging="360" w:left="360"/>
        <w:jc w:val="left"/>
      </w:pPr>
      <w:r>
        <w:rPr>
          <w:rFonts w:ascii="Times New Roman" w:hAnsi="Times New Roman" w:eastAsia="Times New Roman" w:cs="Times New Roman"/>
          <w:sz w:val="16"/>
          <w:szCs w:val="16"/>
        </w:rPr>
        <w:t xml:space="preserve">[14]	</w:t>
      </w:r>
      <w:r>
        <w:rPr>
          <w:rFonts w:ascii="Times New Roman" w:hAnsi="Times New Roman" w:eastAsia="Times New Roman" w:cs="Times New Roman"/>
          <w:sz w:val="16"/>
          <w:szCs w:val="16"/>
        </w:rPr>
        <w:t xml:space="preserve">Y. Ruan, H. Dong, A. Wang, S. Pitis, Y. Zhou, J. Ba, Y. Dubois, C. J. Maddison, and T. Hashimoto, “Identifying the risks of LM agents with an LM-emulated sandbox,” in </w:t>
      </w:r>
      <w:r>
        <w:rPr>
          <w:rFonts w:ascii="Times New Roman" w:hAnsi="Times New Roman" w:eastAsia="Times New Roman" w:cs="Times New Roman"/>
          <w:i/>
          <w:iCs/>
          <w:sz w:val="16"/>
          <w:szCs w:val="16"/>
        </w:rPr>
        <w:t>Proc. Int. Conf. Learn. Represent. (ICLR)</w:t>
      </w:r>
      <w:r>
        <w:rPr>
          <w:rFonts w:ascii="Times New Roman" w:hAnsi="Times New Roman" w:eastAsia="Times New Roman" w:cs="Times New Roman"/>
          <w:sz w:val="16"/>
          <w:szCs w:val="16"/>
        </w:rPr>
        <w:t>, 2024.</w:t>
      </w:r>
    </w:p>
    <w:p w14:paraId="000001A2">
      <w:pPr>
        <w:tabs>
          <w:tab w:val="left" w:pos="360"/>
        </w:tabs>
        <w:spacing w:after="0"/>
        <w:ind w:hanging="360" w:left="360"/>
        <w:jc w:val="left"/>
      </w:pPr>
      <w:r>
        <w:rPr>
          <w:rFonts w:ascii="Times New Roman" w:hAnsi="Times New Roman" w:eastAsia="Times New Roman" w:cs="Times New Roman"/>
          <w:sz w:val="16"/>
          <w:szCs w:val="16"/>
        </w:rPr>
        <w:t xml:space="preserve">[15]	</w:t>
      </w:r>
      <w:r>
        <w:rPr>
          <w:rFonts w:ascii="Times New Roman" w:hAnsi="Times New Roman" w:eastAsia="Times New Roman" w:cs="Times New Roman"/>
          <w:sz w:val="16"/>
          <w:szCs w:val="16"/>
        </w:rPr>
        <w:t xml:space="preserve">P. He, J. Gao, and W. Chen, “DeBERTaV3: Improving DeBERTa using ELECTRA-style pre-training with gradient-disentangled embedding sharing,” in </w:t>
      </w:r>
      <w:r>
        <w:rPr>
          <w:rFonts w:ascii="Times New Roman" w:hAnsi="Times New Roman" w:eastAsia="Times New Roman" w:cs="Times New Roman"/>
          <w:i/>
          <w:iCs/>
          <w:sz w:val="16"/>
          <w:szCs w:val="16"/>
        </w:rPr>
        <w:t>Proc. Int. Conf. Learn. Represent. (ICLR)</w:t>
      </w:r>
      <w:r>
        <w:rPr>
          <w:rFonts w:ascii="Times New Roman" w:hAnsi="Times New Roman" w:eastAsia="Times New Roman" w:cs="Times New Roman"/>
          <w:sz w:val="16"/>
          <w:szCs w:val="16"/>
        </w:rPr>
        <w:t>, 2023.</w:t>
      </w:r>
    </w:p>
    <w:p w14:paraId="000001A3">
      <w:pPr>
        <w:tabs>
          <w:tab w:val="left" w:pos="360"/>
        </w:tabs>
        <w:spacing w:after="0"/>
        <w:ind w:hanging="360" w:left="360"/>
        <w:jc w:val="left"/>
      </w:pPr>
      <w:r>
        <w:rPr>
          <w:rFonts w:ascii="Times New Roman" w:hAnsi="Times New Roman" w:eastAsia="Times New Roman" w:cs="Times New Roman"/>
          <w:sz w:val="16"/>
          <w:szCs w:val="16"/>
        </w:rPr>
        <w:t xml:space="preserve">[16]	</w:t>
      </w:r>
      <w:r>
        <w:rPr>
          <w:rFonts w:ascii="Times New Roman" w:hAnsi="Times New Roman" w:eastAsia="Times New Roman" w:cs="Times New Roman"/>
          <w:sz w:val="16"/>
          <w:szCs w:val="16"/>
        </w:rPr>
        <w:t xml:space="preserve">S. Chen, J. Piet, C. Sitawarin, and D. Wagner, “StruQ: Defending against prompt injection with structured queries,” in </w:t>
      </w:r>
      <w:r>
        <w:rPr>
          <w:rFonts w:ascii="Times New Roman" w:hAnsi="Times New Roman" w:eastAsia="Times New Roman" w:cs="Times New Roman"/>
          <w:i/>
          <w:iCs/>
          <w:sz w:val="16"/>
          <w:szCs w:val="16"/>
        </w:rPr>
        <w:t>Proc. 34th USENIX Security Symp.</w:t>
      </w:r>
      <w:r>
        <w:rPr>
          <w:rFonts w:ascii="Times New Roman" w:hAnsi="Times New Roman" w:eastAsia="Times New Roman" w:cs="Times New Roman"/>
          <w:sz w:val="16"/>
          <w:szCs w:val="16"/>
        </w:rPr>
        <w:t>, 2025.</w:t>
      </w:r>
    </w:p>
    <w:p w14:paraId="000001A4">
      <w:pPr>
        <w:tabs>
          <w:tab w:val="left" w:pos="360"/>
        </w:tabs>
        <w:spacing w:after="0"/>
        <w:ind w:hanging="360" w:left="360"/>
        <w:jc w:val="left"/>
      </w:pPr>
      <w:r>
        <w:rPr>
          <w:rFonts w:ascii="Times New Roman" w:hAnsi="Times New Roman" w:eastAsia="Times New Roman" w:cs="Times New Roman"/>
          <w:sz w:val="16"/>
          <w:szCs w:val="16"/>
        </w:rPr>
        <w:t xml:space="preserve">[17]	</w:t>
      </w:r>
      <w:r>
        <w:rPr>
          <w:rFonts w:ascii="Times New Roman" w:hAnsi="Times New Roman" w:eastAsia="Times New Roman" w:cs="Times New Roman"/>
          <w:sz w:val="16"/>
          <w:szCs w:val="16"/>
        </w:rPr>
        <w:t>E. Wallace, K. Xiao, R. Leike, L. Weng, J. Heidecke, and A. Beutel, “The instruction hierarchy: Training LLMs to prioritize privileged instructions,” arXiv:2404.13208, 2024.</w:t>
      </w:r>
    </w:p>
    <w:p w14:paraId="000001A5">
      <w:pPr>
        <w:tabs>
          <w:tab w:val="left" w:pos="360"/>
        </w:tabs>
        <w:spacing w:after="0"/>
        <w:ind w:hanging="360" w:left="360"/>
        <w:jc w:val="left"/>
      </w:pPr>
      <w:r>
        <w:rPr>
          <w:rFonts w:ascii="Times New Roman" w:hAnsi="Times New Roman" w:eastAsia="Times New Roman" w:cs="Times New Roman"/>
          <w:sz w:val="16"/>
          <w:szCs w:val="16"/>
        </w:rPr>
        <w:t xml:space="preserve">[18]	</w:t>
      </w:r>
      <w:r>
        <w:rPr>
          <w:rFonts w:ascii="Times New Roman" w:hAnsi="Times New Roman" w:eastAsia="Times New Roman" w:cs="Times New Roman"/>
          <w:sz w:val="16"/>
          <w:szCs w:val="16"/>
        </w:rPr>
        <w:t>K. Hines, G. Lopez, M. Hall, F. Zarfati, Y. Zunger, and E. Kiciman, “Defending against indirect prompt injection attacks with spotlighting,” arXiv:2403.14720, 2024.</w:t>
      </w:r>
    </w:p>
    <w:p w14:paraId="000001A6">
      <w:pPr>
        <w:tabs>
          <w:tab w:val="left" w:pos="360"/>
        </w:tabs>
        <w:spacing w:after="0"/>
        <w:ind w:hanging="360" w:left="360"/>
        <w:jc w:val="left"/>
      </w:pPr>
      <w:r>
        <w:rPr>
          <w:rFonts w:ascii="Times New Roman" w:hAnsi="Times New Roman" w:eastAsia="Times New Roman" w:cs="Times New Roman"/>
          <w:sz w:val="16"/>
          <w:szCs w:val="16"/>
        </w:rPr>
        <w:t xml:space="preserve">[19]	</w:t>
      </w:r>
      <w:r>
        <w:rPr>
          <w:rFonts w:ascii="Times New Roman" w:hAnsi="Times New Roman" w:eastAsia="Times New Roman" w:cs="Times New Roman"/>
          <w:sz w:val="16"/>
          <w:szCs w:val="16"/>
        </w:rPr>
        <w:t>E. Debenedetti, I. Shumailov, T. Fan, J. Hayes, N. Carlini, D. Fabian, C. Kern, C. Shi, A. Terzis, and F. Tramèr, “Defeating prompt injections by design,” arXiv:2503.18813, 2025.</w:t>
      </w:r>
    </w:p>
    <w:p w14:paraId="000001A7">
      <w:pPr>
        <w:tabs>
          <w:tab w:val="left" w:pos="360"/>
        </w:tabs>
        <w:spacing w:after="0"/>
        <w:ind w:hanging="360" w:left="360"/>
        <w:jc w:val="left"/>
      </w:pPr>
      <w:r>
        <w:rPr>
          <w:rFonts w:ascii="Times New Roman" w:hAnsi="Times New Roman" w:eastAsia="Times New Roman" w:cs="Times New Roman"/>
          <w:sz w:val="16"/>
          <w:szCs w:val="16"/>
        </w:rPr>
        <w:t xml:space="preserve">[20]	</w:t>
      </w:r>
      <w:r>
        <w:rPr>
          <w:rFonts w:ascii="Times New Roman" w:hAnsi="Times New Roman" w:eastAsia="Times New Roman" w:cs="Times New Roman"/>
          <w:sz w:val="16"/>
          <w:szCs w:val="16"/>
        </w:rPr>
        <w:t xml:space="preserve">K. Zhu, X. Yang, J. Wang, W. Guo, and W. Y. Wang, “MELON: Provable defense against indirect prompt injection attacks in AI agents,” in </w:t>
      </w:r>
      <w:r>
        <w:rPr>
          <w:rFonts w:ascii="Times New Roman" w:hAnsi="Times New Roman" w:eastAsia="Times New Roman" w:cs="Times New Roman"/>
          <w:i/>
          <w:iCs/>
          <w:sz w:val="16"/>
          <w:szCs w:val="16"/>
        </w:rPr>
        <w:t>Proc. Int. Conf. Mach. Learn. (ICML)</w:t>
      </w:r>
      <w:r>
        <w:rPr>
          <w:rFonts w:ascii="Times New Roman" w:hAnsi="Times New Roman" w:eastAsia="Times New Roman" w:cs="Times New Roman"/>
          <w:sz w:val="16"/>
          <w:szCs w:val="16"/>
        </w:rPr>
        <w:t>, 2025.</w:t>
      </w:r>
    </w:p>
    <w:p w14:paraId="000001A8">
      <w:pPr>
        <w:tabs>
          <w:tab w:val="left" w:pos="360"/>
        </w:tabs>
        <w:spacing w:after="0"/>
        <w:ind w:hanging="360" w:left="360"/>
        <w:jc w:val="left"/>
      </w:pPr>
      <w:r>
        <w:rPr>
          <w:rFonts w:ascii="Times New Roman" w:hAnsi="Times New Roman" w:eastAsia="Times New Roman" w:cs="Times New Roman"/>
          <w:sz w:val="16"/>
          <w:szCs w:val="16"/>
        </w:rPr>
        <w:t xml:space="preserve">[21]	</w:t>
      </w:r>
      <w:r>
        <w:rPr>
          <w:rFonts w:ascii="Times New Roman" w:hAnsi="Times New Roman" w:eastAsia="Times New Roman" w:cs="Times New Roman"/>
          <w:sz w:val="16"/>
          <w:szCs w:val="16"/>
        </w:rPr>
        <w:t xml:space="preserve">F. T. Liu, K. M. Ting, and Z.-H. Zhou, “Isolation forest,” in </w:t>
      </w:r>
      <w:r>
        <w:rPr>
          <w:rFonts w:ascii="Times New Roman" w:hAnsi="Times New Roman" w:eastAsia="Times New Roman" w:cs="Times New Roman"/>
          <w:i/>
          <w:iCs/>
          <w:sz w:val="16"/>
          <w:szCs w:val="16"/>
        </w:rPr>
        <w:t>Proc. 8th IEEE Int. Conf. Data Mining (ICDM)</w:t>
      </w:r>
      <w:r>
        <w:rPr>
          <w:rFonts w:ascii="Times New Roman" w:hAnsi="Times New Roman" w:eastAsia="Times New Roman" w:cs="Times New Roman"/>
          <w:sz w:val="16"/>
          <w:szCs w:val="16"/>
        </w:rPr>
        <w:t>, 2008, pp. 413–422.</w:t>
      </w:r>
    </w:p>
    <w:p w14:paraId="000001A9">
      <w:pPr>
        <w:tabs>
          <w:tab w:val="left" w:pos="360"/>
        </w:tabs>
        <w:spacing w:after="0"/>
        <w:ind w:hanging="360" w:left="360"/>
        <w:jc w:val="left"/>
      </w:pPr>
      <w:r>
        <w:rPr>
          <w:rFonts w:ascii="Times New Roman" w:hAnsi="Times New Roman" w:eastAsia="Times New Roman" w:cs="Times New Roman"/>
          <w:sz w:val="16"/>
          <w:szCs w:val="16"/>
        </w:rPr>
        <w:t xml:space="preserve">[22]	</w:t>
      </w:r>
      <w:r>
        <w:rPr>
          <w:rFonts w:ascii="Times New Roman" w:hAnsi="Times New Roman" w:eastAsia="Times New Roman" w:cs="Times New Roman"/>
          <w:sz w:val="16"/>
          <w:szCs w:val="16"/>
        </w:rPr>
        <w:t xml:space="preserve">B. Warner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“Smarter, better, faster, longer: A modern bidirectional encoder for fast, memory efficient, and long context finetuning and inference,” arXiv:2412.13663, 2024.</w:t>
      </w:r>
    </w:p>
    <w:p w14:paraId="000001AA">
      <w:pPr>
        <w:tabs>
          <w:tab w:val="left" w:pos="360"/>
        </w:tabs>
        <w:spacing w:after="0"/>
        <w:ind w:hanging="360" w:left="360"/>
        <w:jc w:val="left"/>
      </w:pPr>
      <w:r>
        <w:rPr>
          <w:rFonts w:ascii="Times New Roman" w:hAnsi="Times New Roman" w:eastAsia="Times New Roman" w:cs="Times New Roman"/>
          <w:sz w:val="16"/>
          <w:szCs w:val="16"/>
        </w:rPr>
        <w:t xml:space="preserve">[23]	</w:t>
      </w:r>
      <w:r>
        <w:rPr>
          <w:rFonts w:ascii="Times New Roman" w:hAnsi="Times New Roman" w:eastAsia="Times New Roman" w:cs="Times New Roman"/>
          <w:sz w:val="16"/>
          <w:szCs w:val="16"/>
        </w:rPr>
        <w:t>Patronus Studio, “Wolf Defender prompt-injection detector (v2),” model card (Kaggle mirror), 2026. [Online]. Available: https://www.kaggle.com/models/aisuko/wolf-defender-prompt-injection</w:t>
      </w:r>
    </w:p>
    <w:p w14:paraId="000001AB">
      <w:pPr>
        <w:tabs>
          <w:tab w:val="left" w:pos="360"/>
        </w:tabs>
        <w:spacing w:after="0"/>
        <w:ind w:hanging="360" w:left="360"/>
        <w:jc w:val="left"/>
      </w:pPr>
      <w:r>
        <w:rPr>
          <w:rFonts w:ascii="Times New Roman" w:hAnsi="Times New Roman" w:eastAsia="Times New Roman" w:cs="Times New Roman"/>
          <w:sz w:val="16"/>
          <w:szCs w:val="16"/>
        </w:rPr>
        <w:t xml:space="preserve">[24]	</w:t>
      </w:r>
      <w:r>
        <w:rPr>
          <w:rFonts w:ascii="Times New Roman" w:hAnsi="Times New Roman" w:eastAsia="Times New Roman" w:cs="Times New Roman"/>
          <w:sz w:val="16"/>
          <w:szCs w:val="16"/>
        </w:rPr>
        <w:t xml:space="preserve">W. Wang, F. Wei, L. Dong, H. Bao, N. Yang, and M. Zhou, “MiniLM: Deep self-attention distillation for task-agnostic compression of pre-trained transformers,” in </w:t>
      </w:r>
      <w:r>
        <w:rPr>
          <w:rFonts w:ascii="Times New Roman" w:hAnsi="Times New Roman" w:eastAsia="Times New Roman" w:cs="Times New Roman"/>
          <w:i/>
          <w:iCs/>
          <w:sz w:val="16"/>
          <w:szCs w:val="16"/>
        </w:rPr>
        <w:t>Adv. Neural Inf. Process. Syst. (NeurIPS)</w:t>
      </w:r>
      <w:r>
        <w:rPr>
          <w:rFonts w:ascii="Times New Roman" w:hAnsi="Times New Roman" w:eastAsia="Times New Roman" w:cs="Times New Roman"/>
          <w:sz w:val="16"/>
          <w:szCs w:val="16"/>
        </w:rPr>
        <w:t>, 2020.</w:t>
      </w:r>
    </w:p>
    <w:p w14:paraId="000001AC">
      <w:pPr>
        <w:tabs>
          <w:tab w:val="left" w:pos="360"/>
        </w:tabs>
        <w:spacing w:after="0"/>
        <w:ind w:hanging="360" w:left="360"/>
        <w:jc w:val="left"/>
      </w:pPr>
      <w:r>
        <w:rPr>
          <w:rFonts w:ascii="Times New Roman" w:hAnsi="Times New Roman" w:eastAsia="Times New Roman" w:cs="Times New Roman"/>
          <w:sz w:val="16"/>
          <w:szCs w:val="16"/>
        </w:rPr>
        <w:t xml:space="preserve">[25]	</w:t>
      </w:r>
      <w:r>
        <w:rPr>
          <w:rFonts w:ascii="Times New Roman" w:hAnsi="Times New Roman" w:eastAsia="Times New Roman" w:cs="Times New Roman"/>
          <w:sz w:val="16"/>
          <w:szCs w:val="16"/>
        </w:rPr>
        <w:t xml:space="preserve">N. Reimers and I. Gurevych, “Sentence-BERT: Sentence embeddings using Siamese BERT-networks,” in </w:t>
      </w:r>
      <w:r>
        <w:rPr>
          <w:rFonts w:ascii="Times New Roman" w:hAnsi="Times New Roman" w:eastAsia="Times New Roman" w:cs="Times New Roman"/>
          <w:i/>
          <w:iCs/>
          <w:sz w:val="16"/>
          <w:szCs w:val="16"/>
        </w:rPr>
        <w:t>Proc. EMNLP-IJCNLP</w:t>
      </w:r>
      <w:r>
        <w:rPr>
          <w:rFonts w:ascii="Times New Roman" w:hAnsi="Times New Roman" w:eastAsia="Times New Roman" w:cs="Times New Roman"/>
          <w:sz w:val="16"/>
          <w:szCs w:val="16"/>
        </w:rPr>
        <w:t>, 2019.</w:t>
      </w:r>
    </w:p>
    <w:p w14:paraId="000001AD">
      <w:pPr>
        <w:tabs>
          <w:tab w:val="left" w:pos="360"/>
        </w:tabs>
        <w:spacing w:after="0"/>
        <w:ind w:hanging="360" w:left="360"/>
        <w:jc w:val="left"/>
      </w:pPr>
      <w:r>
        <w:rPr>
          <w:rFonts w:ascii="Times New Roman" w:hAnsi="Times New Roman" w:eastAsia="Times New Roman" w:cs="Times New Roman"/>
          <w:sz w:val="16"/>
          <w:szCs w:val="16"/>
        </w:rPr>
        <w:t xml:space="preserve">[26]	</w:t>
      </w:r>
      <w:r>
        <w:rPr>
          <w:rFonts w:ascii="Times New Roman" w:hAnsi="Times New Roman" w:eastAsia="Times New Roman" w:cs="Times New Roman"/>
          <w:sz w:val="16"/>
          <w:szCs w:val="16"/>
        </w:rPr>
        <w:t xml:space="preserve">T. Chen and C. Guestrin, “XGBoost: A scalable tree boosting system,” in </w:t>
      </w:r>
      <w:r>
        <w:rPr>
          <w:rFonts w:ascii="Times New Roman" w:hAnsi="Times New Roman" w:eastAsia="Times New Roman" w:cs="Times New Roman"/>
          <w:i/>
          <w:iCs/>
          <w:sz w:val="16"/>
          <w:szCs w:val="16"/>
        </w:rPr>
        <w:t>Proc. 22nd ACM SIGKDD Int. Conf. Knowl. Discov. Data Min.</w:t>
      </w:r>
      <w:r>
        <w:rPr>
          <w:rFonts w:ascii="Times New Roman" w:hAnsi="Times New Roman" w:eastAsia="Times New Roman" w:cs="Times New Roman"/>
          <w:sz w:val="16"/>
          <w:szCs w:val="16"/>
        </w:rPr>
        <w:t>, 2016, pp. 785–794.</w:t>
      </w:r>
    </w:p>
    <w:p w14:paraId="000001AE">
      <w:pPr>
        <w:tabs>
          <w:tab w:val="left" w:pos="360"/>
        </w:tabs>
        <w:spacing w:after="0"/>
        <w:ind w:hanging="360" w:left="360"/>
        <w:jc w:val="left"/>
      </w:pPr>
      <w:r>
        <w:rPr>
          <w:rFonts w:ascii="Times New Roman" w:hAnsi="Times New Roman" w:eastAsia="Times New Roman" w:cs="Times New Roman"/>
          <w:sz w:val="16"/>
          <w:szCs w:val="16"/>
        </w:rPr>
        <w:t xml:space="preserve">[27]	</w:t>
      </w:r>
      <w:r>
        <w:rPr>
          <w:rFonts w:ascii="Times New Roman" w:hAnsi="Times New Roman" w:eastAsia="Times New Roman" w:cs="Times New Roman"/>
          <w:sz w:val="16"/>
          <w:szCs w:val="16"/>
        </w:rPr>
        <w:t xml:space="preserve">D. H. Wolpert, “Stacked generalization,” </w:t>
      </w:r>
      <w:r>
        <w:rPr>
          <w:rFonts w:ascii="Times New Roman" w:hAnsi="Times New Roman" w:eastAsia="Times New Roman" w:cs="Times New Roman"/>
          <w:i/>
          <w:iCs/>
          <w:sz w:val="16"/>
          <w:szCs w:val="16"/>
        </w:rPr>
        <w:t>Neural Netw.</w:t>
      </w:r>
      <w:r>
        <w:rPr>
          <w:rFonts w:ascii="Times New Roman" w:hAnsi="Times New Roman" w:eastAsia="Times New Roman" w:cs="Times New Roman"/>
          <w:sz w:val="16"/>
          <w:szCs w:val="16"/>
        </w:rPr>
        <w:t>, vol. 5, no. 2, pp. 241–259, 1992.</w:t>
      </w:r>
    </w:p>
    <w:p w14:paraId="000001AF">
      <w:pPr>
        <w:tabs>
          <w:tab w:val="left" w:pos="360"/>
        </w:tabs>
        <w:spacing w:after="0"/>
        <w:ind w:hanging="360" w:left="360"/>
        <w:jc w:val="left"/>
      </w:pPr>
      <w:r>
        <w:rPr>
          <w:rFonts w:ascii="Times New Roman" w:hAnsi="Times New Roman" w:eastAsia="Times New Roman" w:cs="Times New Roman"/>
          <w:sz w:val="16"/>
          <w:szCs w:val="16"/>
        </w:rPr>
        <w:t xml:space="preserve">[28]	</w:t>
      </w:r>
      <w:r>
        <w:rPr>
          <w:rFonts w:ascii="Times New Roman" w:hAnsi="Times New Roman" w:eastAsia="Times New Roman" w:cs="Times New Roman"/>
          <w:sz w:val="16"/>
          <w:szCs w:val="16"/>
        </w:rPr>
        <w:t>chuneeb, “AI Agent Cybersecurity Dataset 2026,” Kaggle. Accessed: Oct. 24, 2026. [Online]. Available: https://www.kaggle.com/datasets/chuneeb/ai-agent-cybersecurity-dataset-2026</w:t>
      </w:r>
    </w:p>
    <w:p w14:paraId="000001B0">
      <w:pPr>
        <w:tabs>
          <w:tab w:val="left" w:pos="360"/>
        </w:tabs>
        <w:spacing w:after="0"/>
        <w:ind w:hanging="360" w:left="360"/>
        <w:jc w:val="left"/>
      </w:pPr>
      <w:r>
        <w:rPr>
          <w:rFonts w:ascii="Times New Roman" w:hAnsi="Times New Roman" w:eastAsia="Times New Roman" w:cs="Times New Roman"/>
          <w:sz w:val="16"/>
          <w:szCs w:val="16"/>
        </w:rPr>
        <w:t xml:space="preserve">[29]	</w:t>
      </w:r>
      <w:r>
        <w:rPr>
          <w:rFonts w:ascii="Times New Roman" w:hAnsi="Times New Roman" w:eastAsia="Times New Roman" w:cs="Times New Roman"/>
          <w:sz w:val="16"/>
          <w:szCs w:val="16"/>
        </w:rPr>
        <w:t>krishnayadav456wrsty, “Prompt Injection &amp; Jailbreak Detection Dataset,” Kaggle. Accessed: Oct. 24, 2026. [Online]. Available: https://www.kaggle.com/datasets/krishnayadav456wrsty/prompt-injection-and-jailbreak-detection-dataset</w:t>
      </w:r>
    </w:p>
    <w:p w14:paraId="000001B1">
      <w:pPr>
        <w:tabs>
          <w:tab w:val="left" w:pos="360"/>
        </w:tabs>
        <w:spacing w:after="0"/>
        <w:ind w:hanging="360" w:left="360"/>
        <w:jc w:val="left"/>
      </w:pPr>
      <w:r>
        <w:rPr>
          <w:rFonts w:ascii="Times New Roman" w:hAnsi="Times New Roman" w:eastAsia="Times New Roman" w:cs="Times New Roman"/>
          <w:sz w:val="16"/>
          <w:szCs w:val="16"/>
        </w:rPr>
        <w:t xml:space="preserve">[30]	</w:t>
      </w:r>
      <w:r>
        <w:rPr>
          <w:rFonts w:ascii="Times New Roman" w:hAnsi="Times New Roman" w:eastAsia="Times New Roman" w:cs="Times New Roman"/>
          <w:sz w:val="16"/>
          <w:szCs w:val="16"/>
        </w:rPr>
        <w:t>mohammedaminejebbar, “Malicious Prompt Detection Dataset (MPDD),” Kaggle. Accessed: Oct. 24, 2026. [Online]. Available: https://www.kaggle.com/datasets/mohammedaminejebbar/malicious-prompt-detection-dataset-mpdd</w:t>
      </w:r>
    </w:p>
    <w:p w14:paraId="000001B2">
      <w:pPr>
        <w:tabs>
          <w:tab w:val="left" w:pos="360"/>
        </w:tabs>
        <w:spacing w:after="0"/>
        <w:ind w:hanging="360" w:left="360"/>
        <w:jc w:val="left"/>
      </w:pPr>
      <w:r>
        <w:rPr>
          <w:rFonts w:ascii="Times New Roman" w:hAnsi="Times New Roman" w:eastAsia="Times New Roman" w:cs="Times New Roman"/>
          <w:sz w:val="16"/>
          <w:szCs w:val="16"/>
        </w:rPr>
        <w:t xml:space="preserve">[31]	</w:t>
      </w:r>
      <w:r>
        <w:rPr>
          <w:rFonts w:ascii="Times New Roman" w:hAnsi="Times New Roman" w:eastAsia="Times New Roman" w:cs="Times New Roman"/>
          <w:sz w:val="16"/>
          <w:szCs w:val="16"/>
        </w:rPr>
        <w:t>abdul5445, “LLM Prompt Injection Classification Dataset,” Kaggle. Accessed: Oct. 24, 2026. [Online]. Available: https://www.kaggle.com/datasets/abdul5445/llm-prompt-injection-classification-dataset</w:t>
      </w:r>
    </w:p>
    <w:p w14:paraId="000001B3">
      <w:pPr>
        <w:tabs>
          <w:tab w:val="left" w:pos="360"/>
        </w:tabs>
        <w:spacing w:after="0"/>
        <w:ind w:hanging="360" w:left="360"/>
        <w:jc w:val="left"/>
      </w:pPr>
      <w:r>
        <w:rPr>
          <w:rFonts w:ascii="Times New Roman" w:hAnsi="Times New Roman" w:eastAsia="Times New Roman" w:cs="Times New Roman"/>
          <w:sz w:val="16"/>
          <w:szCs w:val="16"/>
        </w:rPr>
        <w:t xml:space="preserve">[32]	</w:t>
      </w:r>
      <w:r>
        <w:rPr>
          <w:rFonts w:ascii="Times New Roman" w:hAnsi="Times New Roman" w:eastAsia="Times New Roman" w:cs="Times New Roman"/>
          <w:sz w:val="16"/>
          <w:szCs w:val="16"/>
        </w:rPr>
        <w:t xml:space="preserve">F. Pedregosa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“Scikit-learn: Machine learning in Python,” </w:t>
      </w:r>
      <w:r>
        <w:rPr>
          <w:rFonts w:ascii="Times New Roman" w:hAnsi="Times New Roman" w:eastAsia="Times New Roman" w:cs="Times New Roman"/>
          <w:i/>
          <w:iCs/>
          <w:sz w:val="16"/>
          <w:szCs w:val="16"/>
        </w:rPr>
        <w:t>J. Mach. Learn. Res.</w:t>
      </w:r>
      <w:r>
        <w:rPr>
          <w:rFonts w:ascii="Times New Roman" w:hAnsi="Times New Roman" w:eastAsia="Times New Roman" w:cs="Times New Roman"/>
          <w:sz w:val="16"/>
          <w:szCs w:val="16"/>
        </w:rPr>
        <w:t>, vol. 12, pp. 2825–2830, 2011.</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color w:val="000000"/>
      <w:sz w:val="20"/>
      <w:szCs w:val="20"/>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theme" Target="theme/theme1.xml" /><Relationship Id="rId7" Type="http://schemas.openxmlformats.org/officeDocument/2006/relationships/image" Target="media/5bf86fd865aa2ec817c0c121d22bbc45aea16c9f.png" /><Relationship Id="rId8" Type="http://schemas.openxmlformats.org/officeDocument/2006/relationships/image" Target="media/f89ef666354bb59bcc2fdbc11a6811ff2dead1d5.png" /><Relationship Id="rId9" Type="http://schemas.openxmlformats.org/officeDocument/2006/relationships/image" Target="media/a5ce4293f1214ebba5ba4cffc4ccd2afae01687f.png" /><Relationship Id="rId10" Type="http://schemas.openxmlformats.org/officeDocument/2006/relationships/image" Target="media/488f036596d818a7fec29560dd6763731176a144.png" /><Relationship Id="rId11" Type="http://schemas.openxmlformats.org/officeDocument/2006/relationships/image" Target="media/bad0e12af3b1bb60ab1d8bda1ae930def442f0bb.png" /><Relationship Id="rId12" Type="http://schemas.openxmlformats.org/officeDocument/2006/relationships/fontTable" Target="fontTable.xml" /></Relationships>
</file>

<file path=word/_rels/endnotes.xml.rels><?xml version="1.0" encoding="UTF-8" standalone="yes"?><Relationships xmlns="http://schemas.openxmlformats.org/package/2006/relationships" />
</file>

<file path=word/_rels/fontTable.xml.rels><?xml version="1.0" encoding="UTF-8"?><Relationships xmlns="http://schemas.openxmlformats.org/package/2006/relationships"/>
</file>

<file path=word/_rels/footnotes.xml.rels><?xml version="1.0" encoding="UTF-8" standalone="yes"?><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4720</Words>
  <Characters>26849</Characters>
  <CharactersWithSpaces>31229</CharactersWithSpaces>
  <Pages>7</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Detection and Prevention of Prompt Injection Attacks in Autonomous LLM Agents Using Behavioural Analysis</dc:title>
  <cp:lastModifiedBy>Un-named</cp:lastModifiedBy>
  <cp:revision>1</cp:revision>
  <dcterms:created xsi:type="dcterms:W3CDTF">2026-10-24T08:36:31.492Z</dcterms:created>
  <dcterms:modified xsi:type="dcterms:W3CDTF">2026-10-24T08:36:31.494Z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unknown</vt:lpwstr>
  </property>
  <property name="DocumentGuid" fmtid="{D5CDD505-2E9C-101B-9397-08002B2CF9AE}" pid="4">
    <vt:lpwstr>b469ef72-dcb4-480a-a075-f15521555723</vt:lpwstr>
  </property>
</Properties>
</file>