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092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0693359375" w:line="240" w:lineRule="auto"/>
        <w:ind w:left="1655.024719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II — DATA ANALYSIS PROJECT </w:t>
      </w:r>
    </w:p>
    <w:tbl>
      <w:tblPr>
        <w:tblStyle w:val="Table1"/>
        <w:tblW w:w="9361.519470214844" w:type="dxa"/>
        <w:jc w:val="left"/>
        <w:tblInd w:w="13.7448120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.52001953125"/>
        <w:gridCol w:w="3120.4000854492188"/>
        <w:gridCol w:w="3120.599365234375"/>
        <w:tblGridChange w:id="0">
          <w:tblGrid>
            <w:gridCol w:w="3120.52001953125"/>
            <w:gridCol w:w="3120.4000854492188"/>
            <w:gridCol w:w="3120.599365234375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7.5872802734375" w:right="697.3934936523438" w:firstLine="6.57348632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Course: Data Handling and  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160766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Code: DSA0603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160766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CO: CO3</w:t>
            </w:r>
          </w:p>
        </w:tc>
      </w:tr>
      <w:tr>
        <w:trPr>
          <w:cantSplit w:val="0"/>
          <w:trHeight w:val="7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18887329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Duration: 180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575256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Marks: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794677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 No :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33349609375" w:line="240" w:lineRule="auto"/>
              <w:ind w:left="17.5872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33349609375" w:line="231.23263835906982" w:lineRule="auto"/>
        <w:ind w:left="22.1112060546875" w:right="778.48876953125" w:firstLine="4.780731201171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CO3: Analyze time-series data, trends, associations, and uncertainty through appropriate visualization methods.  (BL4)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09326171875" w:line="240" w:lineRule="auto"/>
        <w:ind w:left="3.78479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Activity Tool : Data Analysis Project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3212890625" w:line="240" w:lineRule="auto"/>
        <w:ind w:left="27.888031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Weightage: 20%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340576171875" w:line="231.23273849487305" w:lineRule="auto"/>
        <w:ind w:left="16.93206787109375" w:right="692.733154296875" w:hanging="4.58160400390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 V.P Sneha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(192324284)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(Name / Reg No) certify that this submission is my original work and that I have  adhered to the guidelines specified for this assessment. I understand that any violation of academic integrity rules  will result in disciplinary action.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1181640625" w:line="240" w:lineRule="auto"/>
        <w:ind w:left="14.14321899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Signature of the student: v.p sneha</w:t>
      </w:r>
    </w:p>
    <w:tbl>
      <w:tblPr>
        <w:tblStyle w:val="Table2"/>
        <w:tblW w:w="9860.719909667969" w:type="dxa"/>
        <w:jc w:val="left"/>
        <w:tblInd w:w="13.7448120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.7199096679688"/>
        <w:gridCol w:w="1699.8001098632812"/>
        <w:gridCol w:w="1699.2001342773438"/>
        <w:gridCol w:w="1500.3997802734375"/>
        <w:gridCol w:w="1601.400146484375"/>
        <w:gridCol w:w="1360.8001708984375"/>
        <w:gridCol w:w="698.399658203125"/>
        <w:tblGridChange w:id="0">
          <w:tblGrid>
            <w:gridCol w:w="1300.7199096679688"/>
            <w:gridCol w:w="1699.8001098632812"/>
            <w:gridCol w:w="1699.2001342773438"/>
            <w:gridCol w:w="1500.3997802734375"/>
            <w:gridCol w:w="1601.400146484375"/>
            <w:gridCol w:w="1360.8001708984375"/>
            <w:gridCol w:w="698.399658203125"/>
          </w:tblGrid>
        </w:tblGridChange>
      </w:tblGrid>
      <w:tr>
        <w:trPr>
          <w:cantSplit w:val="0"/>
          <w:trHeight w:val="590.4013061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160766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24.1607666015625" w:right="141.79901123046875" w:hanging="6.57348632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Understanding of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 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7.78656005859375" w:right="131.239013671875" w:hanging="1.593627929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Analytical Design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Use of Tools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186157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5925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7937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27.3480224609375" w:right="-15.1318359375" w:hanging="10.159301757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Documentation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5749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360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164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164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164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164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164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3.824768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DSA0603 — DATA HANDLING AND VISUALIZATION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185546875" w:line="240" w:lineRule="auto"/>
        <w:ind w:left="2140.22552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CO3_AT2_Assessment Tool: DATA ANALYSIS PROJECT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7890625" w:line="230.02774715423584" w:lineRule="auto"/>
        <w:ind w:left="16.93206787109375" w:right="703.57177734375" w:firstLine="2.9879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Topics Covered: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ECDF and Q-Q Plots; Multiple Distributions; Vertical-Axis Distributions; Bean Plots;  Proportions; Pie/Side-by-Side/Stacked Bars; Stacked Densities; Treemaps; Sunburst Charts; Parallel Sets; Sankey  Diagrams; Nested Proportions; Avoiding Misleading Proportions.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410888671875" w:line="230.42937755584717" w:lineRule="auto"/>
        <w:ind w:left="16.334381103515625" w:right="481.796875" w:firstLine="4.78088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General Instruction: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each project task, use an appropriate visualization in R, justify the design choice, interpret  the result in context, and identify potential visualization bias. R/ggplot2 (or an equivalent tool such as treemapify,  ggalluvial, or networkD3) may be used. Submit R code, output plots, and a short written interpretation for each  question.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76416015625" w:line="240" w:lineRule="auto"/>
        <w:ind w:left="24.91683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1 — Comparing Distributions with ECDF and Q-Q Plots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76416015625" w:line="240" w:lineRule="auto"/>
        <w:ind w:left="24.91683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  <w:drawing>
          <wp:inline distB="114300" distT="114300" distL="114300" distR="114300">
            <wp:extent cx="2866023" cy="160288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023" cy="1602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lc2odo1gjxt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14"/>
          <w:szCs w:val="14"/>
        </w:rPr>
      </w:pPr>
      <w:bookmarkStart w:colFirst="0" w:colLast="0" w:name="_ss7gnhu7x99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4"/>
          <w:szCs w:val="14"/>
          <w:rtl w:val="0"/>
        </w:rPr>
        <w:t xml:space="preserve">ECDF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Partner B is generally faster and more consistent.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Partner A has a long upper tail, particularly: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38 and 46 hours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Partner B finishes entirely by 29 hours.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The largest operational divergence occurs toward the upper end of the delivery-time range, where Partner A continues to have shipments at 30, 33, 38 and 46 hours while Partner B has no observations beyond 29 hours.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14"/>
          <w:szCs w:val="14"/>
        </w:rPr>
      </w:pPr>
      <w:bookmarkStart w:colFirst="0" w:colLast="0" w:name="_mq44vci1stc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4"/>
          <w:szCs w:val="14"/>
          <w:rtl w:val="0"/>
        </w:rPr>
        <w:t xml:space="preserve">Q-Q plots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Partner A: does not strongly support normality. The upper observations deviate substantially from the reference line, showing right skew and extreme observations.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Partner B: is much closer to a regular distribution, although the data are discrete and somewhat bounded. It has no extreme observations like Partner 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14"/>
          <w:szCs w:val="14"/>
        </w:rPr>
      </w:pPr>
      <w:bookmarkStart w:colFirst="0" w:colLast="0" w:name="_bbxzal2y1y8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4"/>
          <w:szCs w:val="14"/>
          <w:rtl w:val="0"/>
        </w:rPr>
        <w:t xml:space="preserve">SLA recommendation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Use empirical percentile limits, especially for Partner A.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For example: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95th percentile can be used as a practical upper SLA threshold.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Mean ± SD is less suitable for Partner A because the extreme high delivery times inflate 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mean and standard deviation.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76416015625" w:line="240" w:lineRule="auto"/>
        <w:ind w:left="24.91683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9384765625" w:line="231.23205184936523" w:lineRule="auto"/>
        <w:ind w:left="17.7288818359375" w:right="937.55126953125" w:firstLine="2.98797607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2 — Distribution Shape Across Many Groups using Bean  Plots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091796875" w:line="313.729305267334" w:lineRule="auto"/>
        <w:ind w:left="9.7607421875" w:right="1367.747802734375" w:firstLine="10.358428955078125"/>
        <w:jc w:val="left"/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  <w:drawing>
          <wp:inline distB="114300" distT="114300" distL="114300" distR="114300">
            <wp:extent cx="3026047" cy="170617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047" cy="170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spacing w:line="313.729305267334" w:lineRule="auto"/>
        <w:ind w:left="9.7607421875" w:right="1367.747802734375" w:firstLine="10.358428955078125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6milzw1g9h2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line="313.729305267334" w:lineRule="auto"/>
        <w:ind w:left="9.7607421875" w:right="1367.747802734375" w:firstLine="10.358428955078125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8mgt6bs9zsd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Bimodal / multimodal departments</w:t>
      </w:r>
    </w:p>
    <w:p w:rsidR="00000000" w:rsidDel="00000000" w:rsidP="00000000" w:rsidRDefault="00000000" w:rsidRPr="00000000" w14:paraId="0000005A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Orthopedics is clearly bimodal: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7"/>
        </w:numPr>
        <w:spacing w:after="0" w:afterAutospacing="0" w:before="24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Low group: approximately 8–10 minutes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7"/>
        </w:numPr>
        <w:spacing w:after="24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High group: approximately 25–29 minutes</w:t>
      </w:r>
    </w:p>
    <w:p w:rsidR="00000000" w:rsidDel="00000000" w:rsidP="00000000" w:rsidRDefault="00000000" w:rsidRPr="00000000" w14:paraId="0000005D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This may indicate two different patient groups, appointment types, staffing periods, or workflow processes.</w:t>
      </w:r>
    </w:p>
    <w:p w:rsidR="00000000" w:rsidDel="00000000" w:rsidP="00000000" w:rsidRDefault="00000000" w:rsidRPr="00000000" w14:paraId="0000005E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General Medicine is also strongly bimodal: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3"/>
        </w:numPr>
        <w:spacing w:after="0" w:afterAutospacing="0" w:before="24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Approximately 10–13 minutes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3"/>
        </w:numPr>
        <w:spacing w:after="24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Approximately 38–41 minutes</w:t>
      </w:r>
    </w:p>
    <w:p w:rsidR="00000000" w:rsidDel="00000000" w:rsidP="00000000" w:rsidRDefault="00000000" w:rsidRPr="00000000" w14:paraId="00000061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This suggests two distinct waiting-time processes.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line="313.729305267334" w:lineRule="auto"/>
        <w:ind w:left="9.7607421875" w:right="1367.747802734375" w:firstLine="10.358428955078125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90vl8fc20y7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Most consistent</w:t>
      </w:r>
    </w:p>
    <w:p w:rsidR="00000000" w:rsidDel="00000000" w:rsidP="00000000" w:rsidRDefault="00000000" w:rsidRPr="00000000" w14:paraId="00000063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Pediatrics is the most concentrated department, with waiting times between 5 and 10 minutes.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line="313.729305267334" w:lineRule="auto"/>
        <w:ind w:left="9.7607421875" w:right="1367.747802734375" w:firstLine="10.358428955078125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iybkwix4fr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What does a boxplot conceal?</w:t>
      </w:r>
    </w:p>
    <w:p w:rsidR="00000000" w:rsidDel="00000000" w:rsidP="00000000" w:rsidRDefault="00000000" w:rsidRPr="00000000" w14:paraId="00000065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A boxplot shows: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0" w:afterAutospacing="0" w:before="24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Median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Quartiles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Spread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spacing w:after="24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Potential outliers</w:t>
      </w:r>
    </w:p>
    <w:p w:rsidR="00000000" w:rsidDel="00000000" w:rsidP="00000000" w:rsidRDefault="00000000" w:rsidRPr="00000000" w14:paraId="0000006A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But it can conceal distribution shape and multiple modes.</w:t>
      </w:r>
    </w:p>
    <w:p w:rsidR="00000000" w:rsidDel="00000000" w:rsidP="00000000" w:rsidRDefault="00000000" w:rsidRPr="00000000" w14:paraId="0000006B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For example, Orthopedics may have two separate clusters, which are much easier to recognize in a violin/density plot.</w:t>
      </w:r>
    </w:p>
    <w:p w:rsidR="00000000" w:rsidDel="00000000" w:rsidP="00000000" w:rsidRDefault="00000000" w:rsidRPr="00000000" w14:paraId="0000006C">
      <w:pPr>
        <w:widowControl w:val="0"/>
        <w:spacing w:before="84.4091796875" w:line="313.729305267334" w:lineRule="auto"/>
        <w:ind w:left="9.7607421875" w:right="1367.74780273437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0"/>
        <w:spacing w:line="313.729305267334" w:lineRule="auto"/>
        <w:ind w:left="9.7607421875" w:right="1367.747802734375" w:firstLine="10.358428955078125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fky845694rs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Variability ranking</w:t>
      </w:r>
    </w:p>
    <w:p w:rsidR="00000000" w:rsidDel="00000000" w:rsidP="00000000" w:rsidRDefault="00000000" w:rsidRPr="00000000" w14:paraId="0000006E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Based on spread/range, approximately: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6"/>
        </w:numPr>
        <w:spacing w:after="0" w:afterAutospacing="0" w:before="24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General Medicine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6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Orthopedics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6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Dermatology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6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Cardiology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after="24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Pediatrics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widowControl w:val="0"/>
        <w:spacing w:line="313.729305267334" w:lineRule="auto"/>
        <w:ind w:left="9.7607421875" w:right="1367.747802734375" w:firstLine="10.358428955078125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eazqylo4nks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Median ranking</w:t>
      </w:r>
    </w:p>
    <w:p w:rsidR="00000000" w:rsidDel="00000000" w:rsidP="00000000" w:rsidRDefault="00000000" w:rsidRPr="00000000" w14:paraId="00000075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Approximately: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4"/>
        </w:numPr>
        <w:spacing w:after="0" w:afterAutospacing="0" w:before="24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Dermatology – 19.5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4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Cardiology – 15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4"/>
        </w:numPr>
        <w:spacing w:after="24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General Medicine – 26?</w:t>
      </w:r>
    </w:p>
    <w:p w:rsidR="00000000" w:rsidDel="00000000" w:rsidP="00000000" w:rsidRDefault="00000000" w:rsidRPr="00000000" w14:paraId="00000079">
      <w:pPr>
        <w:widowControl w:val="0"/>
        <w:spacing w:after="240" w:before="240" w:line="313.729305267334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Actually, because General Medicine contains two clusters, its median is 25.5, so the correct median ranking is: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spacing w:after="0" w:afterAutospacing="0" w:before="24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General Medicine – 25.5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Dermatology – 19.5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spacing w:after="0" w:afterAutospacing="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Cardiology – 15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240" w:before="0" w:beforeAutospacing="0" w:line="313.729305267334" w:lineRule="auto"/>
        <w:ind w:left="720" w:hanging="36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Orthopedics – 21?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38330078125" w:line="240" w:lineRule="auto"/>
        <w:ind w:left="24.91683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3 — Choosing an Honest Proportion Chart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38330078125" w:line="240" w:lineRule="auto"/>
        <w:ind w:left="24.91683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  <w:drawing>
          <wp:inline distB="114300" distT="114300" distL="114300" distR="114300">
            <wp:extent cx="2538501" cy="141970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501" cy="141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janeoe6gzx2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Interpretation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UPI/Wallet shares: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Hypermarket = 48%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Supermarket = 48%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Convenience = 40%</w:t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The grouped bar chart makes this easiest to compare because all bars share a common baseline.</w:t>
      </w:r>
    </w:p>
    <w:p w:rsidR="00000000" w:rsidDel="00000000" w:rsidP="00000000" w:rsidRDefault="00000000" w:rsidRPr="00000000" w14:paraId="0000008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The 100% stacked chart is useful for showing the composition of each store format, but comparing middle segments can be harder.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16"/>
          <w:szCs w:val="16"/>
        </w:rPr>
      </w:pPr>
      <w:bookmarkStart w:colFirst="0" w:colLast="0" w:name="_tde0bf38wbq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6"/>
          <w:szCs w:val="16"/>
          <w:rtl w:val="0"/>
        </w:rPr>
        <w:t xml:space="preserve">Why pie charts are harder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A bar chart uses length, which people compare relatively accurately.</w:t>
      </w:r>
    </w:p>
    <w:p w:rsidR="00000000" w:rsidDel="00000000" w:rsidP="00000000" w:rsidRDefault="00000000" w:rsidRPr="00000000" w14:paraId="0000008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A pie chart uses angle/arc length and area, which are harder for humans to compare precisely.</w:t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Therefore, 48% vs 40% is easier to identify with bars than with pie slices.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spacing w:line="240" w:lineRule="auto"/>
        <w:ind w:left="24.916839599609375" w:firstLine="0"/>
        <w:rPr>
          <w:rFonts w:ascii="Times New Roman" w:cs="Times New Roman" w:eastAsia="Times New Roman" w:hAnsi="Times New Roman"/>
          <w:b w:val="0"/>
          <w:bCs w:val="0"/>
          <w:sz w:val="16"/>
          <w:szCs w:val="16"/>
        </w:rPr>
      </w:pPr>
      <w:bookmarkStart w:colFirst="0" w:colLast="0" w:name="_t3skym2o9u5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6"/>
          <w:szCs w:val="16"/>
          <w:rtl w:val="0"/>
        </w:rPr>
        <w:t xml:space="preserve">Misleading design</w:t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A designer could truncate the Y-axis to something like:</w:t>
      </w:r>
    </w:p>
    <w:p w:rsidR="00000000" w:rsidDel="00000000" w:rsidP="00000000" w:rsidRDefault="00000000" w:rsidRPr="00000000" w14:paraId="0000008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30%–50%</w:t>
      </w:r>
    </w:p>
    <w:p w:rsidR="00000000" w:rsidDel="00000000" w:rsidP="00000000" w:rsidRDefault="00000000" w:rsidRPr="00000000" w14:paraId="0000008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instead of starting at zero. This would make Convenience's 35% cash share look dramatically larger than Hypermarket's 18%, exaggerating the actual difference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33367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4 — Nested Proportions in a Household Budget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33367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  <w:drawing>
          <wp:inline distB="114300" distT="114300" distL="114300" distR="114300">
            <wp:extent cx="3904852" cy="219140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852" cy="219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widowControl w:val="0"/>
        <w:spacing w:line="240" w:lineRule="auto"/>
        <w:ind w:left="9.7607421875" w:firstLine="0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oylbdye01x8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Treemap vs Sunburst</w:t>
      </w:r>
    </w:p>
    <w:p w:rsidR="00000000" w:rsidDel="00000000" w:rsidP="00000000" w:rsidRDefault="00000000" w:rsidRPr="00000000" w14:paraId="0000009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Treemap: Better for comparing the size/area of categories and subcategories.</w:t>
      </w:r>
    </w:p>
    <w:p w:rsidR="00000000" w:rsidDel="00000000" w:rsidP="00000000" w:rsidRDefault="00000000" w:rsidRPr="00000000" w14:paraId="0000009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Cardo" w:cs="Cardo" w:eastAsia="Cardo" w:hAnsi="Cardo"/>
          <w:sz w:val="19.920000076293945"/>
          <w:szCs w:val="19.920000076293945"/>
          <w:rtl w:val="0"/>
        </w:rPr>
        <w:t xml:space="preserve">Sunburst: Better for understanding the hierarchy from overall budget → category → subcategory.</w:t>
      </w:r>
    </w:p>
    <w:p w:rsidR="00000000" w:rsidDel="00000000" w:rsidP="00000000" w:rsidRDefault="00000000" w:rsidRPr="00000000" w14:paraId="0000009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For comparing two subcategories belonging to different categories, the treemap is generally easier because the areas are placed directly next to each other more often.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0"/>
        <w:spacing w:line="240" w:lineRule="auto"/>
        <w:ind w:left="9.7607421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libws7i1jet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Area encoding problem</w:t>
      </w:r>
    </w:p>
    <w:p w:rsidR="00000000" w:rsidDel="00000000" w:rsidP="00000000" w:rsidRDefault="00000000" w:rsidRPr="00000000" w14:paraId="0000009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Two categories with similar areas but different shapes may not look equally large. A long, thin rectangle can visually seem smaller than a compact rectangle even when their numerical areas are similar.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097900390625" w:line="240" w:lineRule="auto"/>
        <w:ind w:left="9.760742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1337890625" w:line="229.98308658599854" w:lineRule="auto"/>
        <w:ind w:left="24.916839599609375" w:right="1012.974853515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5 — Flow Analysis using Sankey Diagram and Parallel  Sets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6857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  <w:drawing>
          <wp:inline distB="114300" distT="114300" distL="114300" distR="114300">
            <wp:extent cx="3661700" cy="206457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1700" cy="206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svggzf2hdv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 Identify the three largest flows and calculate percentages</w:t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Total students = 250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jraoohfx7vx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Largest flows</w:t>
      </w:r>
    </w:p>
    <w:tbl>
      <w:tblPr>
        <w:tblStyle w:val="Table3"/>
        <w:tblW w:w="7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4475"/>
        <w:gridCol w:w="1130"/>
        <w:gridCol w:w="1355"/>
        <w:tblGridChange w:id="0">
          <w:tblGrid>
            <w:gridCol w:w="785"/>
            <w:gridCol w:w="4475"/>
            <w:gridCol w:w="113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20.71685791015625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20.71685791015625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20.71685791015625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20.71685791015625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rdo" w:cs="Cardo" w:eastAsia="Cardo" w:hAnsi="Cardo"/>
                <w:sz w:val="19.920000076293945"/>
                <w:szCs w:val="19.920000076293945"/>
                <w:rtl w:val="0"/>
              </w:rPr>
              <w:t xml:space="preserve">Data Science → Laptop →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rdo" w:cs="Cardo" w:eastAsia="Cardo" w:hAnsi="Cardo"/>
                <w:sz w:val="19.920000076293945"/>
                <w:szCs w:val="19.920000076293945"/>
                <w:rtl w:val="0"/>
              </w:rPr>
              <w:t xml:space="preserve">Web Development → Laptop →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rdo" w:cs="Cardo" w:eastAsia="Cardo" w:hAnsi="Cardo"/>
                <w:sz w:val="19.920000076293945"/>
                <w:szCs w:val="19.920000076293945"/>
                <w:rtl w:val="0"/>
              </w:rPr>
              <w:t xml:space="preserve">Data Science → Mobile → Dropped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20.716857910156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2t580m5tvaj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Calculations</w:t>
      </w:r>
    </w:p>
    <w:p w:rsidR="00000000" w:rsidDel="00000000" w:rsidP="00000000" w:rsidRDefault="00000000" w:rsidRPr="00000000" w14:paraId="000000A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Cardo" w:cs="Cardo" w:eastAsia="Cardo" w:hAnsi="Cardo"/>
          <w:sz w:val="19.920000076293945"/>
          <w:szCs w:val="19.920000076293945"/>
          <w:rtl w:val="0"/>
        </w:rPr>
        <w:t xml:space="preserve">1. Data Science → Laptop → Completed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25045​×100=18%</w:t>
      </w:r>
    </w:p>
    <w:p w:rsidR="00000000" w:rsidDel="00000000" w:rsidP="00000000" w:rsidRDefault="00000000" w:rsidRPr="00000000" w14:paraId="000000B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Cardo" w:cs="Cardo" w:eastAsia="Cardo" w:hAnsi="Cardo"/>
          <w:sz w:val="19.920000076293945"/>
          <w:szCs w:val="19.920000076293945"/>
          <w:rtl w:val="0"/>
        </w:rPr>
        <w:t xml:space="preserve">2. Web Development → Laptop → Completed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25035​×100=14%</w:t>
      </w:r>
    </w:p>
    <w:p w:rsidR="00000000" w:rsidDel="00000000" w:rsidP="00000000" w:rsidRDefault="00000000" w:rsidRPr="00000000" w14:paraId="000000B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Cardo" w:cs="Cardo" w:eastAsia="Cardo" w:hAnsi="Cardo"/>
          <w:sz w:val="19.920000076293945"/>
          <w:szCs w:val="19.920000076293945"/>
          <w:rtl w:val="0"/>
        </w:rPr>
        <w:t xml:space="preserve">3. Data Science → Mobile → Dropped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25025​×100=10%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e8rrq57b65m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4. Which course has the weakest completion outcome?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t22bpheqwmy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Data Science</w:t>
      </w:r>
    </w:p>
    <w:p w:rsidR="00000000" w:rsidDel="00000000" w:rsidP="00000000" w:rsidRDefault="00000000" w:rsidRPr="00000000" w14:paraId="000000B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Completed:</w:t>
      </w:r>
    </w:p>
    <w:p w:rsidR="00000000" w:rsidDel="00000000" w:rsidP="00000000" w:rsidRDefault="00000000" w:rsidRPr="00000000" w14:paraId="000000B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20 + 45 = 65</w:t>
      </w:r>
    </w:p>
    <w:p w:rsidR="00000000" w:rsidDel="00000000" w:rsidP="00000000" w:rsidRDefault="00000000" w:rsidRPr="00000000" w14:paraId="000000B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Total = 100</w:t>
      </w:r>
    </w:p>
    <w:p w:rsidR="00000000" w:rsidDel="00000000" w:rsidP="00000000" w:rsidRDefault="00000000" w:rsidRPr="00000000" w14:paraId="000000B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Completion rate: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65/100×100=65%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xzii7a48l8l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Web Development</w:t>
      </w:r>
    </w:p>
    <w:p w:rsidR="00000000" w:rsidDel="00000000" w:rsidP="00000000" w:rsidRDefault="00000000" w:rsidRPr="00000000" w14:paraId="000000B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Completed:</w:t>
      </w:r>
    </w:p>
    <w:p w:rsidR="00000000" w:rsidDel="00000000" w:rsidP="00000000" w:rsidRDefault="00000000" w:rsidRPr="00000000" w14:paraId="000000B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15 + 35 = 50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Total = 80</w:t>
      </w:r>
    </w:p>
    <w:p w:rsidR="00000000" w:rsidDel="00000000" w:rsidP="00000000" w:rsidRDefault="00000000" w:rsidRPr="00000000" w14:paraId="000000B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Completion rate: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50/80×100=62.5%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6vau6ucm6gb7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Digital Marketing</w:t>
      </w:r>
    </w:p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Completed:</w:t>
      </w:r>
    </w:p>
    <w:p w:rsidR="00000000" w:rsidDel="00000000" w:rsidP="00000000" w:rsidRDefault="00000000" w:rsidRPr="00000000" w14:paraId="000000C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10 + 20 = 30</w:t>
      </w:r>
    </w:p>
    <w:p w:rsidR="00000000" w:rsidDel="00000000" w:rsidP="00000000" w:rsidRDefault="00000000" w:rsidRPr="00000000" w14:paraId="000000C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Total = 70</w:t>
      </w:r>
    </w:p>
    <w:p w:rsidR="00000000" w:rsidDel="00000000" w:rsidP="00000000" w:rsidRDefault="00000000" w:rsidRPr="00000000" w14:paraId="000000C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Completion rate: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30/70×100=42.86%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i9udcrgcnnc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C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Digital Marketing has the weakest completion outcome with a completion rate of approximately 42.86%.</w:t>
      </w:r>
    </w:p>
    <w:p w:rsidR="00000000" w:rsidDel="00000000" w:rsidP="00000000" w:rsidRDefault="00000000" w:rsidRPr="00000000" w14:paraId="000000C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The most visible drop-off is:</w:t>
      </w:r>
    </w:p>
    <w:p w:rsidR="00000000" w:rsidDel="00000000" w:rsidP="00000000" w:rsidRDefault="00000000" w:rsidRPr="00000000" w14:paraId="000000C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Cardo" w:cs="Cardo" w:eastAsia="Cardo" w:hAnsi="Cardo"/>
          <w:sz w:val="19.920000076293945"/>
          <w:szCs w:val="19.920000076293945"/>
          <w:rtl w:val="0"/>
        </w:rPr>
        <w:t xml:space="preserve">Digital Marketing → Laptop → Dropped = 25 students.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widowControl w:val="0"/>
        <w:spacing w:line="240" w:lineRule="auto"/>
        <w:ind w:left="20.71685791015625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9a11c8bpgli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 How can the visualization mislead?</w:t>
      </w:r>
    </w:p>
    <w:p w:rsidR="00000000" w:rsidDel="00000000" w:rsidP="00000000" w:rsidRDefault="00000000" w:rsidRPr="00000000" w14:paraId="000000C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If the link widths are not proportional to the number of students, a small flow may appear as important as a large flow.</w:t>
      </w:r>
    </w:p>
    <w:p w:rsidR="00000000" w:rsidDel="00000000" w:rsidP="00000000" w:rsidRDefault="00000000" w:rsidRPr="00000000" w14:paraId="000000C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For example, if a flow of 10 students is drawn almost as wide as a flow of 45 students, the viewer may incorrectly think both flows are similar.</w:t>
      </w:r>
    </w:p>
    <w:p w:rsidR="00000000" w:rsidDel="00000000" w:rsidP="00000000" w:rsidRDefault="00000000" w:rsidRPr="00000000" w14:paraId="000000C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Also, inconsistent ordering of course or device categories can create confusing crossing lines and make important flows difficult to identify.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6857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38.8795471191406" w:top="1421.199951171875" w:left="1426.7352294921875" w:right="938.8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