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064941406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ASSESSMENT TOOL II — VISUALIZATION EVALUATION EXERCISE </w:t>
      </w:r>
    </w:p>
    <w:tbl>
      <w:tblPr>
        <w:tblStyle w:val="Table1"/>
        <w:tblW w:w="9921.199493408203" w:type="dxa"/>
        <w:jc w:val="left"/>
        <w:tblInd w:w="9.960021972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.9999084472656"/>
        <w:gridCol w:w="3000.3997802734375"/>
        <w:gridCol w:w="3919.7998046875"/>
        <w:tblGridChange w:id="0">
          <w:tblGrid>
            <w:gridCol w:w="3000.9999084472656"/>
            <w:gridCol w:w="3000.3997802734375"/>
            <w:gridCol w:w="3919.7998046875"/>
          </w:tblGrid>
        </w:tblGridChange>
      </w:tblGrid>
      <w:tr>
        <w:trPr>
          <w:cantSplit w:val="0"/>
          <w:trHeight w:val="6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06.38717651367188" w:right="607.5949096679688" w:firstLine="6.57363891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Course: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Data Handling and  Visualization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96081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Code: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DSA0603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9608154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CO4</w:t>
            </w:r>
          </w:p>
        </w:tc>
      </w:tr>
      <w:tr>
        <w:trPr>
          <w:cantSplit w:val="0"/>
          <w:trHeight w:val="66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98876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Duration: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60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37530517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Total Marks: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3795166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Reg No: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38732910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Name: 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72084045410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32568359375" w:line="231.23263835906982" w:lineRule="auto"/>
        <w:ind w:left="18.326416015625" w:right="225.59814453125" w:firstLine="4.78080749511718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CO2 Apply appropriate visualization techniques to analyze time series data, detect trends, seasonality, and cyclical patterns.  (BL3)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00952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Activity Tool : Visualization Evaluation Exercise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330078125" w:line="240" w:lineRule="auto"/>
        <w:ind w:left="24.103240966796875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Weightage: 20%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330078125" w:line="240" w:lineRule="auto"/>
        <w:ind w:left="24.10324096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3336181640625" w:line="231.23273849487305" w:lineRule="auto"/>
        <w:ind w:left="11.55364990234375" w:right="252.6806640625" w:hanging="2.988052368164062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 V.P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.920000076293945"/>
          <w:szCs w:val="19.920000076293945"/>
          <w:rtl w:val="0"/>
        </w:rPr>
        <w:t xml:space="preserve"> Sneha(192324284)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(Name / Reg No) certify that this submission is my original work and that I have adhered to the  guidelines specified for this assessment. I understand that any violation of academic integrity rules will result in disciplinary  action.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01123046875" w:line="240" w:lineRule="auto"/>
        <w:ind w:left="10.358428955078125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Signature of the student: </w:t>
      </w: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v.p sn</w:t>
      </w:r>
      <w:r w:rsidDel="00000000" w:rsidR="00000000" w:rsidRPr="00000000">
        <w:rPr>
          <w:rFonts w:ascii="Times New Roman" w:cs="Times New Roman" w:eastAsia="Times New Roman" w:hAnsi="Times New Roman"/>
          <w:sz w:val="19.920000076293945"/>
          <w:szCs w:val="19.920000076293945"/>
          <w:rtl w:val="0"/>
        </w:rPr>
        <w:t xml:space="preserve">eha</w:t>
      </w:r>
      <w:r w:rsidDel="00000000" w:rsidR="00000000" w:rsidRPr="00000000">
        <w:rPr>
          <w:rtl w:val="0"/>
        </w:rPr>
      </w:r>
    </w:p>
    <w:tbl>
      <w:tblPr>
        <w:tblStyle w:val="Table2"/>
        <w:tblW w:w="9002.000274658203" w:type="dxa"/>
        <w:jc w:val="left"/>
        <w:tblInd w:w="9.960021972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.4800415039062"/>
        <w:gridCol w:w="1300.7200622558594"/>
        <w:gridCol w:w="1298.9999389648438"/>
        <w:gridCol w:w="1300.7998657226562"/>
        <w:gridCol w:w="1200.3997802734375"/>
        <w:gridCol w:w="1000.8001708984375"/>
        <w:gridCol w:w="999.000244140625"/>
        <w:gridCol w:w="1000.8001708984375"/>
        <w:tblGridChange w:id="0">
          <w:tblGrid>
            <w:gridCol w:w="900.4800415039062"/>
            <w:gridCol w:w="1300.7200622558594"/>
            <w:gridCol w:w="1298.9999389648438"/>
            <w:gridCol w:w="1300.7998657226562"/>
            <w:gridCol w:w="1200.3997802734375"/>
            <w:gridCol w:w="1000.8001708984375"/>
            <w:gridCol w:w="999.000244140625"/>
            <w:gridCol w:w="1000.8001708984375"/>
          </w:tblGrid>
        </w:tblGridChange>
      </w:tblGrid>
      <w:tr>
        <w:trPr>
          <w:cantSplit w:val="0"/>
          <w:trHeight w:val="1205.401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57477569580078" w:lineRule="auto"/>
              <w:ind w:left="139.59991455078125" w:right="83.09997558593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Evaluation of  Visualization  Quality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.558776855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Critical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Analysis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57477569580078" w:lineRule="auto"/>
              <w:ind w:left="107.2198486328125" w:right="54.35974121093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Application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Visualization  Principles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1586303710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99.89990234375" w:right="85.839843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Organization 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Accuracy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Clarity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Total</w:t>
            </w:r>
          </w:p>
        </w:tc>
      </w:tr>
      <w:tr>
        <w:trPr>
          <w:cantSplit w:val="0"/>
          <w:trHeight w:val="439.1989135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6481628417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.60125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6481628417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6481628417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118804931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6481628417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.60125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64816284179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067214965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Visualization Evaluation Exercise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0927734375" w:line="231.63326740264893" w:lineRule="auto"/>
        <w:ind w:left="8.565597534179688" w:right="573.59130859375" w:firstLine="13.147201538085938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Topic: Visualizing Time Series and Trends (Individual Time Series, Multiple Time Series &amp; Dose–Response Curves, STL  Decomposition, Smoothing, Detrending, Forecasting, Cycle &amp; Seasonality Detection)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477783203125" w:line="240" w:lineRule="auto"/>
        <w:ind w:left="15.067214965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Provided Datasets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4931640625" w:line="231.2314224243164" w:lineRule="auto"/>
        <w:ind w:left="10.956039428710938" w:right="81.778564453125" w:firstLine="2.39036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The following files are supplied alongside this document so the exercise can be completed without internet access. All are real,  publicly documented datasets: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11181640625" w:line="231.23263835906982" w:lineRule="auto"/>
        <w:ind w:left="735.4200744628906" w:right="428.292236328125" w:hanging="347.6495361328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AirPassengers.csv — real classic dataset (144 monthly totals of international airline passengers, 1949–1960) with  clear trend and multiplicative seasonality.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08837890625" w:line="231.23263835906982" w:lineRule="auto"/>
        <w:ind w:left="734.224853515625" w:right="4.608154296875" w:hanging="346.45431518554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co2_mauna_loa.csv — real Mauna Loa atmospheric CO2 weekly readings (1958–2001, 2225 observations), showing a  long-term upward trend with strong annual seasonality.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099609375" w:line="231.83419704437256" w:lineRule="auto"/>
        <w:ind w:left="740.5992126464844" w:right="450.701904296875" w:hanging="352.8286743164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Nile.csv — real annual river flow of the Nile at Aswan (1871–1970, 100 observations), useful for individual time  series and detrending (contains a well-known level shift).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70947265625" w:line="231.23263835906982" w:lineRule="auto"/>
        <w:ind w:left="735.8184814453125" w:right="287.249755859375" w:hanging="348.04794311523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sunspots.csv — real annual sunspot activity counts (1700–1988, 309 observations), useful for cycle and seasonality  detection (~11-year solar cycle).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81005859375" w:line="231.23263835906982" w:lineRule="auto"/>
        <w:ind w:left="752.55126953125" w:right="516.1328125" w:hanging="364.780731201171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EuStockMarkets.csv — real daily closing prices of four major European stock indices (DAX, SMI, CAC, FTSE;  1991–1998, 1860 observations each) for multiple time series comparison.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105712890625" w:line="231.23335361480713" w:lineRule="auto"/>
        <w:ind w:left="736.2168884277344" w:right="745.3173828125" w:hanging="348.4463500976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● ryegrass_doseresponse.csv — real dose–response data (root length of ryegrass vs. herbicide concentration, 24  observations) from the drc package in R.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2099609375" w:line="240" w:lineRule="auto"/>
        <w:ind w:left="13.1472015380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Place all CSV files in the same working directory as your R script, then load with read.csv("filename.csv").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.3333740234375" w:line="240" w:lineRule="auto"/>
        <w:ind w:left="24.00482177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Question 1: Individual Time Series &amp; Moving-Average Smoothing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099609375" w:line="240" w:lineRule="auto"/>
        <w:ind w:left="10.3584289550781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.920000076293945"/>
          <w:szCs w:val="19.920000076293945"/>
        </w:rPr>
        <w:drawing>
          <wp:inline distB="114300" distT="114300" distL="114300" distR="114300">
            <wp:extent cx="3171952" cy="178682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952" cy="178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widowControl w:val="0"/>
        <w:spacing w:line="240" w:lineRule="auto"/>
        <w:ind w:left="10.358428955078125" w:firstLine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4lz3pbm462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5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1.920000076293945"/>
          <w:szCs w:val="2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The Nile flow shows noticeable changes in its level over time, with some periods having higher or lower annual flow. The moving average smooths short-term fluctuations and makes longer-term changes in the flow level easier to identify.</w:t>
      </w:r>
    </w:p>
    <w:p w:rsidR="00000000" w:rsidDel="00000000" w:rsidP="00000000" w:rsidRDefault="00000000" w:rsidRPr="00000000" w14:paraId="0000005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Question 2: Multiple Time Series Comparison &amp; Dose–Response Curve</w:t>
      </w:r>
    </w:p>
    <w:p w:rsidR="00000000" w:rsidDel="00000000" w:rsidP="00000000" w:rsidRDefault="00000000" w:rsidRPr="00000000" w14:paraId="0000005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31.920000076293945"/>
          <w:szCs w:val="31.920000076293945"/>
        </w:rPr>
        <w:drawing>
          <wp:inline distB="114300" distT="114300" distL="114300" distR="114300">
            <wp:extent cx="3160917" cy="178060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917" cy="1780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31.920000076293945"/>
          <w:szCs w:val="31.920000076293945"/>
        </w:rPr>
        <w:drawing>
          <wp:inline distB="114300" distT="114300" distL="114300" distR="114300">
            <wp:extent cx="3252254" cy="183016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254" cy="1830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5tt20nrf0h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5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Generally, increasing concentration reduces root length, producing a downward dose-response relationship. The concentration at which root length is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.920000076293945"/>
          <w:szCs w:val="25.920000076293945"/>
          <w:rtl w:val="0"/>
        </w:rPr>
        <w:t xml:space="preserve">50% of the control value</w:t>
      </w:r>
      <w:r w:rsidDel="00000000" w:rsidR="00000000" w:rsidRPr="00000000">
        <w:rPr>
          <w:rFonts w:ascii="Times New Roman" w:cs="Times New Roman" w:eastAsia="Times New Roman" w:hAnsi="Times New Roman"/>
          <w:sz w:val="25.920000076293945"/>
          <w:szCs w:val="25.920000076293945"/>
          <w:rtl w:val="0"/>
        </w:rPr>
        <w:t xml:space="preserve"> can be estimated from the fitted curve.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Question 3: Seasonal Decomposition of Time Series (STL) </w:t>
      </w:r>
    </w:p>
    <w:p w:rsidR="00000000" w:rsidDel="00000000" w:rsidP="00000000" w:rsidRDefault="00000000" w:rsidRPr="00000000" w14:paraId="0000006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31.920000076293945"/>
          <w:szCs w:val="31.920000076293945"/>
        </w:rPr>
        <w:drawing>
          <wp:inline distB="114300" distT="114300" distL="114300" distR="114300">
            <wp:extent cx="3576104" cy="201372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104" cy="2013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8c3fqy9kdv2w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6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3.920000076293945"/>
          <w:szCs w:val="23.920000076293945"/>
          <w:rtl w:val="0"/>
        </w:rPr>
        <w:t xml:space="preserve">The AirPassengers series has a clear upward trend and strong yearly seasonality. The seasonal fluctuations become larger as the overall number of passengers increases, so a multiplicative decomposition is more appropriate than a purely additive decomposition.</w:t>
      </w:r>
    </w:p>
    <w:p w:rsidR="00000000" w:rsidDel="00000000" w:rsidP="00000000" w:rsidRDefault="00000000" w:rsidRPr="00000000" w14:paraId="0000006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Question 4: Detrending and Residual Analysis </w:t>
      </w:r>
    </w:p>
    <w:p w:rsidR="00000000" w:rsidDel="00000000" w:rsidP="00000000" w:rsidRDefault="00000000" w:rsidRPr="00000000" w14:paraId="0000006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31.920000076293945"/>
          <w:szCs w:val="31.920000076293945"/>
        </w:rPr>
        <w:drawing>
          <wp:inline distB="114300" distT="114300" distL="114300" distR="114300">
            <wp:extent cx="3061754" cy="172474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1754" cy="1724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widowControl w:val="0"/>
        <w:spacing w:line="240" w:lineRule="auto"/>
        <w:ind w:left="10.358428955078125" w:firstLine="0"/>
        <w:rPr>
          <w:rFonts w:ascii="Times New Roman" w:cs="Times New Roman" w:eastAsia="Times New Roman" w:hAnsi="Times New Roman"/>
        </w:rPr>
      </w:pPr>
      <w:bookmarkStart w:colFirst="0" w:colLast="0" w:name="_d60dkpuvhw2e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Interpretation</w:t>
      </w:r>
    </w:p>
    <w:p w:rsidR="00000000" w:rsidDel="00000000" w:rsidP="00000000" w:rsidRDefault="00000000" w:rsidRPr="00000000" w14:paraId="0000006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1.920000076293945"/>
          <w:szCs w:val="2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After removing the linear trend, a clear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.920000076293945"/>
          <w:szCs w:val="21.920000076293945"/>
          <w:rtl w:val="0"/>
        </w:rPr>
        <w:t xml:space="preserve">seasonal/oscillating pattern</w:t>
      </w:r>
      <w:r w:rsidDel="00000000" w:rsidR="00000000" w:rsidRPr="00000000">
        <w:rPr>
          <w:rFonts w:ascii="Times New Roman" w:cs="Times New Roman" w:eastAsia="Times New Roman" w:hAnsi="Times New Roman"/>
          <w:sz w:val="21.920000076293945"/>
          <w:szCs w:val="21.920000076293945"/>
          <w:rtl w:val="0"/>
        </w:rPr>
        <w:t xml:space="preserve"> remains in the residuals. Therefore, simple linear detrending is not sufficient because CO2 measurements contain strong seasonal variation in addition to the long-term upward trend.</w:t>
      </w:r>
    </w:p>
    <w:p w:rsidR="00000000" w:rsidDel="00000000" w:rsidP="00000000" w:rsidRDefault="00000000" w:rsidRPr="00000000" w14:paraId="0000006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Question 5: Forecasting Trends and Cycle/Seasonality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31.920000076293945"/>
          <w:szCs w:val="31.920000076293945"/>
        </w:rPr>
        <w:drawing>
          <wp:inline distB="114300" distT="114300" distL="114300" distR="114300">
            <wp:extent cx="3756424" cy="209492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424" cy="2094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widowControl w:val="0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5ms7op9dqe5d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6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3.920000076293945"/>
          <w:szCs w:val="23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sz w:val="23.920000076293945"/>
          <w:szCs w:val="23.920000076293945"/>
          <w:rtl w:val="0"/>
        </w:rPr>
        <w:t xml:space="preserve">The ACF and periodogram show a strong repeating cycle in sunspot activity. The dominant cycle is approximately 11 years, which agrees closely with the commonly cited solar cycle of about 11 years.</w:t>
      </w:r>
    </w:p>
    <w:p w:rsidR="00000000" w:rsidDel="00000000" w:rsidP="00000000" w:rsidRDefault="00000000" w:rsidRPr="00000000" w14:paraId="0000006B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282.0796203613281" w:top="878.399658203125" w:left="990.8399963378906" w:right="946.6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