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Face Recognition Benchmark</w:t>
      </w:r>
    </w:p>
    <w:p>
      <w:r>
        <w:t>Metric Definitions:</w:t>
      </w:r>
    </w:p>
    <w:p>
      <w:r>
        <w:t>- Recall: % of images where the correct person was found.</w:t>
      </w:r>
    </w:p>
    <w:p>
      <w:r>
        <w:t>- Avg Conf: The average certainty score for identified faces.</w:t>
      </w:r>
    </w:p>
    <w:p>
      <w:r>
        <w:t>- Time: Average processing time per image (seconds).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Recall (Acc)</w:t>
            </w:r>
          </w:p>
        </w:tc>
        <w:tc>
          <w:tcPr>
            <w:tcW w:type="dxa" w:w="2160"/>
          </w:tcPr>
          <w:p>
            <w:r>
              <w:t>Avg Conf</w:t>
            </w:r>
          </w:p>
        </w:tc>
        <w:tc>
          <w:tcPr>
            <w:tcW w:type="dxa" w:w="2160"/>
          </w:tcPr>
          <w:p>
            <w:r>
              <w:t>Time (s)</w:t>
            </w:r>
          </w:p>
        </w:tc>
      </w:tr>
      <w:tr>
        <w:tc>
          <w:tcPr>
            <w:tcW w:type="dxa" w:w="2160"/>
          </w:tcPr>
          <w:p>
            <w:r>
              <w:t>FaceNet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  <w:tc>
          <w:tcPr>
            <w:tcW w:type="dxa" w:w="2160"/>
          </w:tcPr>
          <w:p>
            <w:r>
              <w:t>80.6%</w:t>
            </w:r>
          </w:p>
        </w:tc>
        <w:tc>
          <w:tcPr>
            <w:tcW w:type="dxa" w:w="2160"/>
          </w:tcPr>
          <w:p>
            <w:r>
              <w:t>3.73</w:t>
            </w:r>
          </w:p>
        </w:tc>
      </w:tr>
      <w:tr>
        <w:tc>
          <w:tcPr>
            <w:tcW w:type="dxa" w:w="2160"/>
          </w:tcPr>
          <w:p>
            <w:r>
              <w:t>ArcFace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  <w:tc>
          <w:tcPr>
            <w:tcW w:type="dxa" w:w="2160"/>
          </w:tcPr>
          <w:p>
            <w:r>
              <w:t>64.7%</w:t>
            </w:r>
          </w:p>
        </w:tc>
        <w:tc>
          <w:tcPr>
            <w:tcW w:type="dxa" w:w="2160"/>
          </w:tcPr>
          <w:p>
            <w:r>
              <w:t>3.496</w:t>
            </w:r>
          </w:p>
        </w:tc>
      </w:tr>
      <w:tr>
        <w:tc>
          <w:tcPr>
            <w:tcW w:type="dxa" w:w="2160"/>
          </w:tcPr>
          <w:p>
            <w:r>
              <w:t>InsightFace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  <w:tc>
          <w:tcPr>
            <w:tcW w:type="dxa" w:w="2160"/>
          </w:tcPr>
          <w:p>
            <w:r>
              <w:t>78.2%</w:t>
            </w:r>
          </w:p>
        </w:tc>
        <w:tc>
          <w:tcPr>
            <w:tcW w:type="dxa" w:w="2160"/>
          </w:tcPr>
          <w:p>
            <w:r>
              <w:t>1.56</w:t>
            </w:r>
          </w:p>
        </w:tc>
      </w:tr>
      <w:tr>
        <w:tc>
          <w:tcPr>
            <w:tcW w:type="dxa" w:w="2160"/>
          </w:tcPr>
          <w:p>
            <w:r>
              <w:t>CosFace</w:t>
            </w:r>
          </w:p>
        </w:tc>
        <w:tc>
          <w:tcPr>
            <w:tcW w:type="dxa" w:w="2160"/>
          </w:tcPr>
          <w:p>
            <w:r>
              <w:t>93.8%</w:t>
            </w:r>
          </w:p>
        </w:tc>
        <w:tc>
          <w:tcPr>
            <w:tcW w:type="dxa" w:w="2160"/>
          </w:tcPr>
          <w:p>
            <w:r>
              <w:t>71.0%</w:t>
            </w:r>
          </w:p>
        </w:tc>
        <w:tc>
          <w:tcPr>
            <w:tcW w:type="dxa" w:w="2160"/>
          </w:tcPr>
          <w:p>
            <w:r>
              <w:t>3.629</w:t>
            </w:r>
          </w:p>
        </w:tc>
      </w:tr>
      <w:tr>
        <w:tc>
          <w:tcPr>
            <w:tcW w:type="dxa" w:w="2160"/>
          </w:tcPr>
          <w:p>
            <w:r>
              <w:t>SphereFace</w:t>
            </w:r>
          </w:p>
        </w:tc>
        <w:tc>
          <w:tcPr>
            <w:tcW w:type="dxa" w:w="2160"/>
          </w:tcPr>
          <w:p>
            <w:r>
              <w:t>37.5%</w:t>
            </w:r>
          </w:p>
        </w:tc>
        <w:tc>
          <w:tcPr>
            <w:tcW w:type="dxa" w:w="2160"/>
          </w:tcPr>
          <w:p>
            <w:r>
              <w:t>69.7%</w:t>
            </w:r>
          </w:p>
        </w:tc>
        <w:tc>
          <w:tcPr>
            <w:tcW w:type="dxa" w:w="2160"/>
          </w:tcPr>
          <w:p>
            <w:r>
              <w:t>2.897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